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9"/>
        <w:rPr>
          <w:rFonts w:ascii="Times New Roman" w:hAnsi="Times New Roman" w:cs="Times New Roman"/>
          <w:b/>
        </w:rPr>
      </w:pPr>
      <w:r>
        <w:rPr>
          <w:rFonts w:ascii="Times New Roman" w:hAnsi="Times New Roman" w:cs="Times New Roman"/>
          <w:b/>
        </w:rPr>
        <w:t>YUNUS EMRE MES. VE TEKNİK ANADOLU LİSESİ 2020/2021 EĞİTİM-ÖĞRETİM YILI 2. DÖNEM 6. BÖLGE MUHASEBE VE FİNANSMAN ALANI  ZÜMRE ÖĞRETMENLERİ TOPLANTI TUTANAĞI</w:t>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rPr>
        <w:br w:type="textWrapping"/>
        <w:t>TOPLANTI NO</w:t>
        <w:tab/>
        <w:tab/>
        <w:t>: 2</w:t>
      </w:r>
    </w:p>
    <w:p>
      <w:pPr>
        <w:pStyle w:val="para9"/>
        <w:rPr>
          <w:rFonts w:ascii="Times New Roman" w:hAnsi="Times New Roman" w:cs="Times New Roman"/>
        </w:rPr>
      </w:pPr>
      <w:r>
        <w:rPr>
          <w:rFonts w:ascii="Times New Roman" w:hAnsi="Times New Roman" w:cs="Times New Roman"/>
        </w:rPr>
        <w:t>TOPLANTI TARİHİ</w:t>
        <w:tab/>
        <w:tab/>
        <w:t xml:space="preserve">: 18.02.2021 </w:t>
      </w:r>
    </w:p>
    <w:p>
      <w:pPr>
        <w:pStyle w:val="para9"/>
        <w:rPr>
          <w:rFonts w:ascii="Times New Roman" w:hAnsi="Times New Roman" w:cs="Times New Roman"/>
        </w:rPr>
      </w:pPr>
      <w:r>
        <w:rPr>
          <w:rFonts w:ascii="Times New Roman" w:hAnsi="Times New Roman" w:cs="Times New Roman"/>
        </w:rPr>
        <w:t>TOPLANTI YERİ</w:t>
        <w:tab/>
        <w:tab/>
        <w:t>: ÇEVRİMİÇİ</w:t>
      </w:r>
    </w:p>
    <w:p>
      <w:pPr>
        <w:pStyle w:val="para9"/>
        <w:rPr>
          <w:rFonts w:ascii="Times New Roman" w:hAnsi="Times New Roman" w:cs="Times New Roman"/>
        </w:rPr>
      </w:pPr>
      <w:r>
        <w:rPr>
          <w:rFonts w:ascii="Times New Roman" w:hAnsi="Times New Roman" w:cs="Times New Roman"/>
        </w:rPr>
        <w:t>TOPLANTI SAATİ</w:t>
        <w:tab/>
        <w:tab/>
        <w:t>: 15.00</w:t>
      </w:r>
    </w:p>
    <w:p>
      <w:pPr>
        <w:pStyle w:val="para9"/>
        <w:rPr>
          <w:rFonts w:ascii="Times New Roman" w:hAnsi="Times New Roman" w:cs="Times New Roman"/>
        </w:rPr>
      </w:pPr>
      <w:r>
        <w:rPr>
          <w:rFonts w:ascii="Times New Roman" w:hAnsi="Times New Roman" w:cs="Times New Roman"/>
        </w:rPr>
        <w:t>TOPLANTIYA KATILANLAR: Tuncer ÇINGIL, Oğuz ZİYAN</w:t>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bCs/>
        </w:rPr>
      </w:pPr>
      <w:r>
        <w:rPr>
          <w:rFonts w:ascii="Times New Roman" w:hAnsi="Times New Roman" w:cs="Times New Roman"/>
          <w:b/>
        </w:rPr>
        <w:t>TOPLANTININ AMACI</w:t>
        <w:tab/>
        <w:t>: Öğretim Yılı 2. Dönem Başı Aşağıdaki Gündem maddelerinin görüşülmesi</w:t>
      </w:r>
      <w:r>
        <w:rPr>
          <w:rFonts w:ascii="Times New Roman" w:hAnsi="Times New Roman" w:cs="Times New Roman"/>
        </w:rPr>
        <w:br w:type="textWrapping"/>
      </w:r>
      <w:r>
        <w:rPr>
          <w:rFonts w:ascii="Times New Roman" w:hAnsi="Times New Roman" w:cs="Times New Roman"/>
          <w:bCs/>
        </w:rPr>
      </w:r>
    </w:p>
    <w:p>
      <w:pPr>
        <w:pStyle w:val="para9"/>
        <w:rPr>
          <w:rFonts w:ascii="Times New Roman" w:hAnsi="Times New Roman" w:cs="Times New Roman"/>
          <w:bCs/>
        </w:rPr>
      </w:pPr>
      <w:hyperlink r:id="rId8" w:history="1">
        <w:r>
          <w:rPr>
            <w:rStyle w:val="char4"/>
            <w:rFonts w:ascii="Times New Roman" w:hAnsi="Times New Roman" w:cs="Times New Roman"/>
            <w:bCs/>
          </w:rPr>
          <w:t>https://www.sorubak.com</w:t>
        </w:r>
      </w:hyperlink>
      <w:r>
        <w:rPr>
          <w:rFonts w:ascii="Times New Roman" w:hAnsi="Times New Roman" w:cs="Times New Roman"/>
          <w:bCs/>
        </w:rPr>
        <w:t xml:space="preserve"> </w:t>
      </w:r>
    </w:p>
    <w:p>
      <w:pPr>
        <w:pStyle w:val="para9"/>
        <w:rPr>
          <w:rFonts w:ascii="Times New Roman" w:hAnsi="Times New Roman" w:cs="Times New Roman"/>
        </w:rPr>
      </w:pPr>
      <w:r>
        <w:rPr>
          <w:rFonts w:ascii="Times New Roman" w:hAnsi="Times New Roman" w:cs="Times New Roman"/>
          <w:b/>
          <w:bCs/>
        </w:rPr>
        <w:t>TOPLANTININ GÜNDEM MADDELERİ</w:t>
      </w:r>
      <w:r>
        <w:rPr>
          <w:rFonts w:ascii="Times New Roman" w:hAnsi="Times New Roman" w:cs="Times New Roman"/>
        </w:rPr>
        <w:br w:type="textWrapping"/>
        <w:br w:type="textWrapping"/>
      </w:r>
      <w:r>
        <w:rPr>
          <w:rFonts w:ascii="Times New Roman" w:hAnsi="Times New Roman" w:cs="Times New Roman"/>
          <w:b/>
          <w:bCs/>
        </w:rPr>
        <w:t>1)</w:t>
      </w:r>
      <w:r>
        <w:rPr>
          <w:rFonts w:ascii="Times New Roman" w:hAnsi="Times New Roman" w:cs="Times New Roman"/>
        </w:rPr>
        <w:t>2020-2021 eğitim-öğretim yılının 1. döneminin değerlendirilmesi</w:t>
      </w:r>
    </w:p>
    <w:p>
      <w:pPr>
        <w:pStyle w:val="para9"/>
        <w:rPr>
          <w:rFonts w:ascii="Times New Roman" w:hAnsi="Times New Roman" w:cs="Times New Roman"/>
        </w:rPr>
      </w:pPr>
      <w:r>
        <w:rPr>
          <w:rFonts w:ascii="Times New Roman" w:hAnsi="Times New Roman" w:cs="Times New Roman"/>
          <w:b/>
          <w:bCs/>
        </w:rPr>
        <w:t>2)</w:t>
      </w:r>
      <w:r>
        <w:rPr>
          <w:rFonts w:ascii="Times New Roman" w:hAnsi="Times New Roman" w:cs="Times New Roman"/>
        </w:rPr>
        <w:t>Öğretim metot ve tekniklerinin gözden geçirilmesi</w:t>
        <w:br w:type="textWrapping"/>
      </w:r>
      <w:r>
        <w:rPr>
          <w:rFonts w:ascii="Times New Roman" w:hAnsi="Times New Roman" w:cs="Times New Roman"/>
          <w:b/>
          <w:bCs/>
        </w:rPr>
        <w:t>3)</w:t>
      </w:r>
      <w:r>
        <w:rPr>
          <w:rFonts w:ascii="Times New Roman" w:hAnsi="Times New Roman" w:cs="Times New Roman"/>
        </w:rPr>
        <w:t>Ölçme ve değerlendirme yönetmeliklerinin incelenmesi</w:t>
      </w:r>
    </w:p>
    <w:p>
      <w:pPr>
        <w:pStyle w:val="para9"/>
        <w:rPr>
          <w:rFonts w:ascii="Times New Roman" w:hAnsi="Times New Roman" w:cs="Times New Roman"/>
        </w:rPr>
      </w:pPr>
      <w:r>
        <w:rPr>
          <w:rFonts w:ascii="Times New Roman" w:hAnsi="Times New Roman" w:cs="Times New Roman"/>
          <w:b/>
          <w:bCs/>
        </w:rPr>
        <w:t>4)</w:t>
      </w:r>
      <w:r>
        <w:rPr>
          <w:rFonts w:ascii="Times New Roman" w:hAnsi="Times New Roman" w:cs="Times New Roman"/>
        </w:rPr>
        <w:t>Performans ve proje dönem ödevlerinin verilişi ve değerlendirilmesi</w:t>
      </w:r>
    </w:p>
    <w:p>
      <w:pPr>
        <w:pStyle w:val="para9"/>
        <w:rPr>
          <w:rFonts w:ascii="Times New Roman" w:hAnsi="Times New Roman" w:cs="Times New Roman"/>
        </w:rPr>
      </w:pPr>
      <w:r>
        <w:rPr>
          <w:rFonts w:ascii="Times New Roman" w:hAnsi="Times New Roman" w:cs="Times New Roman"/>
          <w:b/>
          <w:bCs/>
        </w:rPr>
        <w:t>5)</w:t>
      </w:r>
      <w:r>
        <w:rPr>
          <w:rFonts w:ascii="Times New Roman" w:hAnsi="Times New Roman" w:cs="Times New Roman"/>
        </w:rPr>
        <w:t xml:space="preserve"> Diğer branş öğretmenleriyle birliğin sağlanabilmesi için alınacak tedbirler</w:t>
      </w:r>
    </w:p>
    <w:p>
      <w:pPr>
        <w:pStyle w:val="para9"/>
        <w:rPr>
          <w:rFonts w:ascii="Times New Roman" w:hAnsi="Times New Roman" w:cs="Times New Roman"/>
        </w:rPr>
      </w:pPr>
      <w:r>
        <w:rPr>
          <w:rFonts w:ascii="Times New Roman" w:hAnsi="Times New Roman" w:cs="Times New Roman"/>
          <w:b/>
          <w:bCs/>
        </w:rPr>
        <w:t>6)</w:t>
      </w:r>
      <w:r>
        <w:rPr>
          <w:rFonts w:ascii="Times New Roman" w:hAnsi="Times New Roman" w:cs="Times New Roman"/>
        </w:rPr>
        <w:t xml:space="preserve"> Derslerle ilgili araç gereçlerin kullanılması</w:t>
      </w:r>
    </w:p>
    <w:p>
      <w:pPr>
        <w:pStyle w:val="para9"/>
        <w:rPr>
          <w:rFonts w:ascii="Times New Roman" w:hAnsi="Times New Roman" w:cs="Times New Roman"/>
        </w:rPr>
      </w:pPr>
      <w:r>
        <w:rPr>
          <w:rFonts w:ascii="Times New Roman" w:hAnsi="Times New Roman" w:cs="Times New Roman"/>
          <w:b/>
          <w:bCs/>
        </w:rPr>
        <w:t>7)</w:t>
      </w:r>
      <w:r>
        <w:rPr>
          <w:rFonts w:ascii="Times New Roman" w:hAnsi="Times New Roman" w:cs="Times New Roman"/>
        </w:rPr>
        <w:t xml:space="preserve"> Yazılılarla ilgili esasların tespiti</w:t>
      </w:r>
    </w:p>
    <w:p>
      <w:pPr>
        <w:pStyle w:val="para9"/>
        <w:rPr>
          <w:rFonts w:ascii="Times New Roman" w:hAnsi="Times New Roman" w:cs="Times New Roman"/>
        </w:rPr>
      </w:pPr>
      <w:r>
        <w:rPr>
          <w:rFonts w:ascii="Times New Roman" w:hAnsi="Times New Roman" w:cs="Times New Roman"/>
          <w:b/>
          <w:bCs/>
        </w:rPr>
        <w:t>8)</w:t>
      </w:r>
      <w:r>
        <w:rPr>
          <w:rFonts w:ascii="Times New Roman" w:hAnsi="Times New Roman" w:cs="Times New Roman"/>
        </w:rPr>
        <w:t xml:space="preserve"> Atatürk ilke ve inkılaplarının ders konularına yansıtılması</w:t>
      </w:r>
    </w:p>
    <w:p>
      <w:pPr>
        <w:pStyle w:val="para9"/>
        <w:rPr>
          <w:rFonts w:ascii="Times New Roman" w:hAnsi="Times New Roman" w:cs="Times New Roman"/>
        </w:rPr>
      </w:pPr>
      <w:r>
        <w:rPr>
          <w:rFonts w:ascii="Times New Roman" w:hAnsi="Times New Roman" w:cs="Times New Roman"/>
          <w:b/>
          <w:bCs/>
        </w:rPr>
        <w:t>9)</w:t>
      </w:r>
      <w:r>
        <w:rPr>
          <w:rFonts w:ascii="Times New Roman" w:hAnsi="Times New Roman" w:cs="Times New Roman"/>
        </w:rPr>
        <w:t xml:space="preserve"> Derslerde başarının arttırılması için alınacak tedbirler ve yapılacak çalışmalar</w:t>
      </w:r>
    </w:p>
    <w:p>
      <w:pPr>
        <w:pStyle w:val="para9"/>
        <w:rPr>
          <w:rFonts w:ascii="Times New Roman" w:hAnsi="Times New Roman" w:cs="Times New Roman"/>
        </w:rPr>
      </w:pPr>
      <w:r>
        <w:rPr>
          <w:rFonts w:ascii="Times New Roman" w:hAnsi="Times New Roman" w:cs="Times New Roman"/>
          <w:b/>
          <w:bCs/>
        </w:rPr>
        <w:t>10)</w:t>
      </w:r>
      <w:r>
        <w:rPr>
          <w:rFonts w:ascii="Times New Roman" w:hAnsi="Times New Roman" w:cs="Times New Roman"/>
        </w:rPr>
        <w:t>Dilek ve temenniler</w:t>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b/>
          <w:bCs/>
        </w:rPr>
        <w:t>GÜNDEM MADDELERİN GÖRÜŞÜLMESİ</w:t>
      </w:r>
      <w:r>
        <w:rPr>
          <w:rFonts w:ascii="Times New Roman" w:hAnsi="Times New Roman" w:cs="Times New Roman"/>
          <w:b/>
        </w:rPr>
        <w:br w:type="textWrapping"/>
      </w:r>
      <w:r>
        <w:rPr>
          <w:rFonts w:ascii="Times New Roman" w:hAnsi="Times New Roman" w:cs="Times New Roman"/>
        </w:rPr>
        <w:br w:type="textWrapping"/>
      </w:r>
      <w:r>
        <w:rPr>
          <w:rFonts w:ascii="Times New Roman" w:hAnsi="Times New Roman" w:cs="Times New Roman"/>
          <w:b/>
          <w:bCs/>
        </w:rPr>
        <w:t>1)</w:t>
      </w:r>
      <w:r>
        <w:rPr>
          <w:rFonts w:ascii="Times New Roman" w:hAnsi="Times New Roman" w:cs="Times New Roman"/>
          <w:bCs/>
        </w:rPr>
        <w:t>2020-2021 eğitim-öğretim yılının 1. döneminin değerlendirilmesi</w:t>
      </w: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rPr>
        <w:t>2020-2021 eğitim-öğretim yılı 1. döneminde yapılan zümre toplantısında alınan kararlar okunarak gözden geçirildi. Aynı dönemin Muhasebe ve Finansman alan dersleri bazında genel bir değerlendirilmesi yapıldı. Değerlendirme sonucunda alan derslerinde, sene başındaki zümre toplantısında alınan kararların doğrultusunda hareket edildiği tespit edildi.</w:t>
        <w:br w:type="textWrapping"/>
      </w:r>
    </w:p>
    <w:p>
      <w:pPr>
        <w:pStyle w:val="para9"/>
        <w:rPr>
          <w:rFonts w:ascii="Times New Roman" w:hAnsi="Times New Roman" w:cs="Times New Roman"/>
          <w:bCs/>
        </w:rPr>
      </w:pPr>
      <w:r>
        <w:rPr>
          <w:rFonts w:ascii="Times New Roman" w:hAnsi="Times New Roman" w:cs="Times New Roman"/>
          <w:b/>
          <w:bCs/>
        </w:rPr>
        <w:t>2)</w:t>
      </w:r>
      <w:r>
        <w:rPr>
          <w:rFonts w:ascii="Times New Roman" w:hAnsi="Times New Roman" w:cs="Times New Roman"/>
          <w:bCs/>
        </w:rPr>
        <w:t xml:space="preserve"> Öğretim metot ve tekniklerinin gözden geçirilmesi</w:t>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bCs/>
        </w:rPr>
      </w:pPr>
      <w:r>
        <w:rPr>
          <w:rFonts w:ascii="Times New Roman" w:hAnsi="Times New Roman" w:cs="Times New Roman"/>
        </w:rPr>
        <w:t>Öğretim programlarında belirtilen kazanım ve davranışlar dikkate alınarak okulumuzda okutulan alan derslerinde, derslerin işlenişinde çevresel şartları ve olanakları da göz önünde bulundurarak uygulanacak olan öğretim yöntem ve teknikleri aşağıda verilen tabloda yer aldığı şekilde belirlenmiştir;</w:t>
      </w:r>
      <w:r>
        <w:rPr>
          <w:rFonts w:ascii="Times New Roman" w:hAnsi="Times New Roman" w:cs="Times New Roman"/>
          <w:bCs/>
        </w:rPr>
      </w:r>
    </w:p>
    <w:p>
      <w:pPr>
        <w:pStyle w:val="para9"/>
        <w:rPr>
          <w:rFonts w:ascii="Times New Roman" w:hAnsi="Times New Roman" w:cs="Times New Roman"/>
          <w:bCs/>
        </w:rPr>
      </w:pPr>
      <w:r>
        <w:rPr>
          <w:rFonts w:ascii="Times New Roman" w:hAnsi="Times New Roman" w:cs="Times New Roman"/>
          <w:bCs/>
        </w:rPr>
      </w:r>
    </w:p>
    <w:tbl>
      <w:tblPr>
        <w:tblStyle w:val="NormalTable"/>
        <w:name w:val="Tablo1"/>
        <w:tabOrder w:val="0"/>
        <w:jc w:val="left"/>
        <w:tblInd w:w="1081" w:type="dxa"/>
        <w:tblW w:w="8330" w:type="dxa"/>
        <w:tblLook w:val="0000" w:firstRow="0" w:lastRow="0" w:firstColumn="0" w:lastColumn="0" w:noHBand="0" w:noVBand="0"/>
      </w:tblPr>
      <w:tblGrid>
        <w:gridCol w:w="2334"/>
        <w:gridCol w:w="3303"/>
        <w:gridCol w:w="2693"/>
      </w:tblGrid>
      <w:tr>
        <w:trPr>
          <w:cantSplit w:val="0"/>
          <w:trHeight w:val="1" w:hRule="atLeast"/>
        </w:trPr>
        <w:tc>
          <w:tcPr>
            <w:tcW w:w="8330" w:type="dxa"/>
            <w:gridSpan w:val="3"/>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bCs/>
              </w:rPr>
            </w:pPr>
            <w:r>
              <w:rPr>
                <w:rFonts w:ascii="Times New Roman" w:hAnsi="Times New Roman" w:cs="Times New Roman"/>
                <w:bCs/>
                <w:lang w:val="en-us"/>
              </w:rPr>
              <w:t>MUHASEBE VE FİNANSMAN ALAN</w:t>
            </w:r>
            <w:r>
              <w:rPr>
                <w:rFonts w:ascii="Times New Roman" w:hAnsi="Times New Roman" w:cs="Times New Roman"/>
                <w:bCs/>
              </w:rPr>
              <w:t xml:space="preserve"> DERSLERİNDE KULLANILABİLECEK</w:t>
            </w:r>
          </w:p>
          <w:p>
            <w:pPr>
              <w:pStyle w:val="para9"/>
              <w:rPr>
                <w:rFonts w:ascii="Times New Roman" w:hAnsi="Times New Roman" w:cs="Times New Roman"/>
                <w:lang w:val="en-us"/>
              </w:rPr>
            </w:pPr>
            <w:r>
              <w:rPr>
                <w:rFonts w:ascii="Times New Roman" w:hAnsi="Times New Roman" w:cs="Times New Roman"/>
                <w:bCs/>
              </w:rPr>
              <w:t xml:space="preserve"> YÖNTEM VE TEKNİKLER</w:t>
            </w:r>
            <w:r>
              <w:rPr>
                <w:rFonts w:ascii="Times New Roman" w:hAnsi="Times New Roman" w:cs="Times New Roman"/>
                <w:lang w:val="en-us"/>
              </w:rPr>
            </w:r>
          </w:p>
        </w:tc>
      </w:tr>
      <w:tr>
        <w:trPr>
          <w:cantSplit w:val="0"/>
          <w:trHeight w:val="1" w:hRule="atLeast"/>
        </w:trPr>
        <w:tc>
          <w:tcPr>
            <w:tcW w:w="2334"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Araştırma</w:t>
            </w:r>
          </w:p>
        </w:tc>
        <w:tc>
          <w:tcPr>
            <w:tcW w:w="3303"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KavramHaritas</w:t>
            </w:r>
            <w:r>
              <w:rPr>
                <w:rFonts w:ascii="Times New Roman" w:hAnsi="Times New Roman" w:cs="Times New Roman"/>
              </w:rPr>
              <w:t>ı Hazırlama</w:t>
            </w:r>
            <w:r>
              <w:rPr>
                <w:rFonts w:ascii="Times New Roman" w:hAnsi="Times New Roman" w:cs="Times New Roman"/>
                <w:lang w:val="en-us"/>
              </w:rPr>
            </w:r>
          </w:p>
        </w:tc>
        <w:tc>
          <w:tcPr>
            <w:tcW w:w="2693"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Metin</w:t>
            </w:r>
            <w:r>
              <w:rPr>
                <w:rFonts w:ascii="Times New Roman" w:hAnsi="Times New Roman" w:cs="Times New Roman"/>
              </w:rPr>
              <w:t>İnceleme</w:t>
            </w:r>
            <w:r>
              <w:rPr>
                <w:rFonts w:ascii="Times New Roman" w:hAnsi="Times New Roman" w:cs="Times New Roman"/>
                <w:lang w:val="en-us"/>
              </w:rPr>
            </w:r>
          </w:p>
        </w:tc>
      </w:tr>
      <w:tr>
        <w:trPr>
          <w:cantSplit w:val="0"/>
          <w:trHeight w:val="1" w:hRule="atLeast"/>
        </w:trPr>
        <w:tc>
          <w:tcPr>
            <w:tcW w:w="2334"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Gezi-Gözlem-</w:t>
            </w:r>
            <w:r>
              <w:rPr>
                <w:rFonts w:ascii="Times New Roman" w:hAnsi="Times New Roman" w:cs="Times New Roman"/>
              </w:rPr>
              <w:t>İnceleme</w:t>
            </w:r>
            <w:r>
              <w:rPr>
                <w:rFonts w:ascii="Times New Roman" w:hAnsi="Times New Roman" w:cs="Times New Roman"/>
                <w:lang w:val="en-us"/>
              </w:rPr>
            </w:r>
          </w:p>
        </w:tc>
        <w:tc>
          <w:tcPr>
            <w:tcW w:w="3303"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TabloHaz</w:t>
            </w:r>
            <w:r>
              <w:rPr>
                <w:rFonts w:ascii="Times New Roman" w:hAnsi="Times New Roman" w:cs="Times New Roman"/>
              </w:rPr>
              <w:t>ırlama</w:t>
            </w:r>
            <w:r>
              <w:rPr>
                <w:rFonts w:ascii="Times New Roman" w:hAnsi="Times New Roman" w:cs="Times New Roman"/>
                <w:lang w:val="en-us"/>
              </w:rPr>
            </w:r>
          </w:p>
        </w:tc>
        <w:tc>
          <w:tcPr>
            <w:tcW w:w="2693"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MetinYazma</w:t>
            </w:r>
          </w:p>
        </w:tc>
      </w:tr>
      <w:tr>
        <w:trPr>
          <w:cantSplit w:val="0"/>
          <w:trHeight w:val="1" w:hRule="atLeast"/>
        </w:trPr>
        <w:tc>
          <w:tcPr>
            <w:tcW w:w="2334"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Anlat</w:t>
            </w:r>
            <w:r>
              <w:rPr>
                <w:rFonts w:ascii="Times New Roman" w:hAnsi="Times New Roman" w:cs="Times New Roman"/>
              </w:rPr>
              <w:t>ım</w:t>
            </w:r>
            <w:r>
              <w:rPr>
                <w:rFonts w:ascii="Times New Roman" w:hAnsi="Times New Roman" w:cs="Times New Roman"/>
                <w:lang w:val="en-us"/>
              </w:rPr>
            </w:r>
          </w:p>
        </w:tc>
        <w:tc>
          <w:tcPr>
            <w:tcW w:w="3303"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Karşılaştırma</w:t>
            </w:r>
          </w:p>
        </w:tc>
        <w:tc>
          <w:tcPr>
            <w:tcW w:w="2693"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KompozisyonYazma</w:t>
            </w:r>
          </w:p>
        </w:tc>
      </w:tr>
      <w:tr>
        <w:trPr>
          <w:cantSplit w:val="0"/>
          <w:trHeight w:val="1" w:hRule="atLeast"/>
        </w:trPr>
        <w:tc>
          <w:tcPr>
            <w:tcW w:w="2334"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Soru-cevap</w:t>
            </w:r>
          </w:p>
        </w:tc>
        <w:tc>
          <w:tcPr>
            <w:tcW w:w="3303"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KarşılaştırmalıTabloHazırlama</w:t>
            </w:r>
          </w:p>
        </w:tc>
        <w:tc>
          <w:tcPr>
            <w:tcW w:w="2693"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HikâyeYazma</w:t>
            </w:r>
          </w:p>
        </w:tc>
      </w:tr>
      <w:tr>
        <w:trPr>
          <w:cantSplit w:val="0"/>
          <w:trHeight w:val="1" w:hRule="atLeast"/>
        </w:trPr>
        <w:tc>
          <w:tcPr>
            <w:tcW w:w="2334"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BireyselÇal</w:t>
            </w:r>
            <w:r>
              <w:rPr>
                <w:rFonts w:ascii="Times New Roman" w:hAnsi="Times New Roman" w:cs="Times New Roman"/>
              </w:rPr>
              <w:t>ışmalar</w:t>
            </w:r>
            <w:r>
              <w:rPr>
                <w:rFonts w:ascii="Times New Roman" w:hAnsi="Times New Roman" w:cs="Times New Roman"/>
                <w:lang w:val="en-us"/>
              </w:rPr>
            </w:r>
          </w:p>
        </w:tc>
        <w:tc>
          <w:tcPr>
            <w:tcW w:w="3303"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ŞemaHazırlama</w:t>
            </w:r>
          </w:p>
        </w:tc>
        <w:tc>
          <w:tcPr>
            <w:tcW w:w="2693" w:type="dxa"/>
            <w:shd w:val="solid" w:color="F2F2F2" tmshd="15941634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EmpatiYapma</w:t>
            </w:r>
          </w:p>
        </w:tc>
      </w:tr>
      <w:tr>
        <w:trPr>
          <w:cantSplit w:val="0"/>
          <w:trHeight w:val="1" w:hRule="atLeast"/>
        </w:trPr>
        <w:tc>
          <w:tcPr>
            <w:tcW w:w="2334"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EBA</w:t>
            </w:r>
          </w:p>
        </w:tc>
        <w:tc>
          <w:tcPr>
            <w:tcW w:w="3303"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BilgiKartlar</w:t>
            </w:r>
            <w:r>
              <w:rPr>
                <w:rFonts w:ascii="Times New Roman" w:hAnsi="Times New Roman" w:cs="Times New Roman"/>
              </w:rPr>
              <w:t>ı Hazırlama</w:t>
            </w:r>
            <w:r>
              <w:rPr>
                <w:rFonts w:ascii="Times New Roman" w:hAnsi="Times New Roman" w:cs="Times New Roman"/>
                <w:lang w:val="en-us"/>
              </w:rPr>
            </w:r>
          </w:p>
        </w:tc>
        <w:tc>
          <w:tcPr>
            <w:tcW w:w="2693" w:type="dxa"/>
            <w:shd w:val="solid" w:color="CCCCCC" tmshd="1343488256, 0, 16777215"/>
            <w:tcBorders>
              <w:top w:val="nil" w:sz="0" w:space="0" w:color="000000" tmln="20, 20, 20, 0, 0"/>
              <w:left w:val="nil" w:sz="0" w:space="0" w:color="000000" tmln="20, 20, 20, 0, 0"/>
              <w:bottom w:val="nil" w:sz="0" w:space="0" w:color="000000" tmln="20, 20, 20, 0, 0"/>
              <w:right w:val="nil" w:sz="0" w:space="0" w:color="000000" tmln="20,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Uzaktan Eğitim</w:t>
            </w:r>
          </w:p>
        </w:tc>
      </w:tr>
    </w:tbl>
    <w:p>
      <w:pPr>
        <w:pStyle w:val="para9"/>
        <w:rPr>
          <w:rFonts w:ascii="Times New Roman" w:hAnsi="Times New Roman" w:cs="Times New Roman"/>
          <w:bCs/>
        </w:rPr>
      </w:pPr>
      <w:r>
        <w:rPr>
          <w:rFonts w:ascii="Times New Roman" w:hAnsi="Times New Roman" w:cs="Times New Roman"/>
          <w:bCs/>
        </w:rPr>
      </w:r>
    </w:p>
    <w:p>
      <w:pPr>
        <w:pStyle w:val="para9"/>
        <w:rPr>
          <w:rFonts w:ascii="Times New Roman" w:hAnsi="Times New Roman" w:cs="Times New Roman"/>
          <w:bCs/>
        </w:rPr>
      </w:pPr>
      <w:r>
        <w:rPr>
          <w:rFonts w:ascii="Times New Roman" w:hAnsi="Times New Roman" w:cs="Times New Roman"/>
          <w:b/>
          <w:bCs/>
        </w:rPr>
        <w:t>3)</w:t>
      </w:r>
      <w:r>
        <w:rPr>
          <w:rFonts w:ascii="Times New Roman" w:hAnsi="Times New Roman" w:cs="Times New Roman"/>
          <w:bCs/>
        </w:rPr>
        <w:t>Ölçme ve değerlendirme yönetmeliklerinin incelenmesi</w:t>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rPr>
        <w:t xml:space="preserve">Milli Eğitim Bakanlığı Ortaöğretim Kurumları Yönetmeliği incelenmiş ve sınavların değerlendirilmesinde bu yönetmeliğe uyulacağı belirlenmiştir. </w:t>
      </w:r>
    </w:p>
    <w:p>
      <w:pPr>
        <w:pStyle w:val="para9"/>
        <w:rPr>
          <w:rFonts w:ascii="Times New Roman" w:hAnsi="Times New Roman" w:cs="Times New Roman"/>
          <w:b/>
          <w:bCs/>
        </w:rPr>
      </w:pPr>
      <w:r>
        <w:rPr>
          <w:rFonts w:ascii="Times New Roman" w:hAnsi="Times New Roman" w:cs="Times New Roman"/>
          <w:b/>
        </w:rPr>
        <w:t xml:space="preserve">4) </w:t>
      </w:r>
      <w:r>
        <w:rPr>
          <w:rFonts w:ascii="Times New Roman" w:hAnsi="Times New Roman" w:cs="Times New Roman"/>
        </w:rPr>
        <w:t>Performans ve proje dönem ödevlerinin verilişi ve değerlendirilmesi</w:t>
      </w:r>
      <w:r>
        <w:rPr>
          <w:rFonts w:ascii="Times New Roman" w:hAnsi="Times New Roman" w:cs="Times New Roman"/>
          <w:b/>
          <w:bCs/>
        </w:rPr>
      </w:r>
    </w:p>
    <w:p>
      <w:pPr>
        <w:pStyle w:val="para9"/>
        <w:rPr>
          <w:rFonts w:ascii="Times New Roman" w:hAnsi="Times New Roman" w:cs="Times New Roman"/>
        </w:rPr>
      </w:pPr>
      <w:r>
        <w:rPr>
          <w:rFonts w:ascii="Times New Roman" w:hAnsi="Times New Roman" w:cs="Times New Roman"/>
        </w:rPr>
        <w:t xml:space="preserve">Birinci Kanaat Döneminde alınan kararlar doğrultusunda çalışmalar yapıldı. Projeler belirlenen konulara göre verildi.   </w:t>
      </w:r>
    </w:p>
    <w:p>
      <w:pPr>
        <w:pStyle w:val="para9"/>
        <w:rPr>
          <w:rFonts w:ascii="Times New Roman" w:hAnsi="Times New Roman" w:cs="Times New Roman"/>
        </w:rPr>
      </w:pPr>
      <w:r>
        <w:rPr>
          <w:rFonts w:ascii="Times New Roman" w:hAnsi="Times New Roman" w:cs="Times New Roman"/>
        </w:rPr>
        <w:t>Ödevlerde uygulanacak not dağılımı;</w:t>
      </w:r>
    </w:p>
    <w:p>
      <w:pPr>
        <w:pStyle w:val="para9"/>
        <w:rPr>
          <w:rFonts w:ascii="Times New Roman" w:hAnsi="Times New Roman" w:cs="Times New Roman"/>
        </w:rPr>
      </w:pPr>
      <w:r>
        <w:rPr>
          <w:rFonts w:ascii="Times New Roman" w:hAnsi="Times New Roman" w:cs="Times New Roman"/>
        </w:rPr>
      </w:r>
    </w:p>
    <w:tbl>
      <w:tblPr>
        <w:tblStyle w:val="NormalTable"/>
        <w:name w:val="Tablo2"/>
        <w:tabOrder w:val="0"/>
        <w:jc w:val="center"/>
        <w:tblInd w:w="0" w:type="dxa"/>
        <w:tblW w:w="4599" w:type="dxa"/>
        <w:tblLook w:val="0000" w:firstRow="0" w:lastRow="0" w:firstColumn="0" w:lastColumn="0" w:noHBand="0" w:noVBand="0"/>
      </w:tblPr>
      <w:tblGrid>
        <w:gridCol w:w="3323"/>
        <w:gridCol w:w="1276"/>
      </w:tblGrid>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bCs/>
                <w:lang w:val="en-us"/>
              </w:rPr>
              <w:t>DE</w:t>
            </w:r>
            <w:r>
              <w:rPr>
                <w:rFonts w:ascii="Times New Roman" w:hAnsi="Times New Roman" w:cs="Times New Roman"/>
                <w:bCs/>
              </w:rPr>
              <w:t>ĞERLENDİRME ÖLÇÜTLERİ</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bCs/>
                <w:lang w:val="en-us"/>
              </w:rPr>
              <w:t>PUANLAR</w:t>
            </w:r>
            <w:r>
              <w:rPr>
                <w:rFonts w:ascii="Times New Roman" w:hAnsi="Times New Roman" w:cs="Times New Roman"/>
                <w:lang w:val="en-us"/>
              </w:rPr>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Konunun</w:t>
            </w:r>
            <w:r>
              <w:rPr>
                <w:rFonts w:ascii="Times New Roman" w:hAnsi="Times New Roman" w:cs="Times New Roman"/>
              </w:rPr>
              <w:t>İşlenişi</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40</w:t>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Kaynakbulmavekullan</w:t>
            </w:r>
            <w:r>
              <w:rPr>
                <w:rFonts w:ascii="Times New Roman" w:hAnsi="Times New Roman" w:cs="Times New Roman"/>
              </w:rPr>
              <w:t>ımı</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20</w:t>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rPr>
              <w:t>İmla kurallarına uyma</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10</w:t>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Tertip-düzen</w:t>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10</w:t>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Ö</w:t>
            </w:r>
            <w:r>
              <w:rPr>
                <w:rFonts w:ascii="Times New Roman" w:hAnsi="Times New Roman" w:cs="Times New Roman"/>
              </w:rPr>
              <w:t>ğretmen ile işbirliği</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10</w:t>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Yararlan</w:t>
            </w:r>
            <w:r>
              <w:rPr>
                <w:rFonts w:ascii="Times New Roman" w:hAnsi="Times New Roman" w:cs="Times New Roman"/>
              </w:rPr>
              <w:t>ılan kaynakların belirtilmesi</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lang w:val="en-us"/>
              </w:rPr>
              <w:t>10</w:t>
            </w:r>
          </w:p>
        </w:tc>
      </w:tr>
      <w:tr>
        <w:trPr>
          <w:cantSplit w:val="0"/>
          <w:trHeight w:val="1" w:hRule="atLeast"/>
        </w:trPr>
        <w:tc>
          <w:tcPr>
            <w:tcW w:w="3323"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bCs/>
                <w:i/>
                <w:iCs/>
                <w:lang w:val="en-us"/>
              </w:rPr>
              <w:t>TOPLAM</w:t>
            </w:r>
            <w:r>
              <w:rPr>
                <w:rFonts w:ascii="Times New Roman" w:hAnsi="Times New Roman" w:cs="Times New Roman"/>
                <w:lang w:val="en-us"/>
              </w:rPr>
            </w:r>
          </w:p>
        </w:tc>
        <w:tc>
          <w:tcPr>
            <w:tcW w:w="1276" w:type="dxa"/>
            <w:shd w:val="solid" w:color="FFFFFF" tmshd="1677721856, 0, 16777215"/>
            <w:tcBorders>
              <w:top w:val="single" w:sz="3" w:space="0" w:color="000000" tmln="8, 20, 20, 0, 0"/>
              <w:left w:val="single" w:sz="3" w:space="0" w:color="000000" tmln="8, 20, 20, 0, 0"/>
              <w:bottom w:val="single" w:sz="3" w:space="0" w:color="000000" tmln="8, 20, 20, 0, 0"/>
              <w:right w:val="single" w:sz="3" w:space="0" w:color="000000" tmln="8, 20, 20, 0, 0"/>
            </w:tcBorders>
            <w:tmTcPr id="1613826297" protected="0"/>
          </w:tcPr>
          <w:p>
            <w:pPr>
              <w:pStyle w:val="para9"/>
              <w:rPr>
                <w:rFonts w:ascii="Times New Roman" w:hAnsi="Times New Roman" w:cs="Times New Roman"/>
                <w:lang w:val="en-us"/>
              </w:rPr>
            </w:pPr>
            <w:r>
              <w:rPr>
                <w:rFonts w:ascii="Times New Roman" w:hAnsi="Times New Roman" w:cs="Times New Roman"/>
                <w:bCs/>
                <w:i/>
                <w:iCs/>
                <w:lang w:val="en-us"/>
              </w:rPr>
              <w:t>100</w:t>
            </w:r>
            <w:r>
              <w:rPr>
                <w:rFonts w:ascii="Times New Roman" w:hAnsi="Times New Roman" w:cs="Times New Roman"/>
                <w:lang w:val="en-us"/>
              </w:rPr>
            </w:r>
          </w:p>
        </w:tc>
      </w:tr>
    </w:tbl>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bCs/>
        </w:rPr>
      </w:pPr>
      <w:r>
        <w:rPr>
          <w:rFonts w:ascii="Times New Roman" w:hAnsi="Times New Roman" w:cs="Times New Roman"/>
          <w:b/>
          <w:bCs/>
        </w:rPr>
        <w:t>5)</w:t>
      </w:r>
      <w:r>
        <w:rPr>
          <w:rFonts w:ascii="Times New Roman" w:hAnsi="Times New Roman" w:cs="Times New Roman"/>
          <w:bCs/>
        </w:rPr>
        <w:t xml:space="preserve"> Diğer branş öğretmenleriyle birliğin sağlanabilmesi için alınacak tedbirler</w:t>
      </w:r>
    </w:p>
    <w:p>
      <w:pPr>
        <w:pStyle w:val="para9"/>
        <w:rPr>
          <w:rFonts w:ascii="Times New Roman" w:hAnsi="Times New Roman" w:cs="Times New Roman"/>
        </w:rPr>
      </w:pPr>
      <w:r>
        <w:rPr>
          <w:rFonts w:ascii="Times New Roman" w:hAnsi="Times New Roman" w:cs="Times New Roman"/>
        </w:rPr>
        <w:t>Konuların özelliğine göre gerek Muhasebe ve Finansman alanı zümreleri arasında, gerekse diğer alan öğretmenleri arsında işbirliği yapıldığı belirtildi.</w:t>
      </w:r>
    </w:p>
    <w:p>
      <w:pPr>
        <w:pStyle w:val="para9"/>
        <w:rPr>
          <w:rFonts w:ascii="Times New Roman" w:hAnsi="Times New Roman" w:cs="Times New Roman"/>
          <w:bCs/>
        </w:rPr>
      </w:pPr>
      <w:r>
        <w:rPr>
          <w:rFonts w:ascii="Times New Roman" w:hAnsi="Times New Roman" w:cs="Times New Roman"/>
          <w:b/>
          <w:bCs/>
        </w:rPr>
        <w:t>6)</w:t>
      </w:r>
      <w:r>
        <w:rPr>
          <w:rFonts w:ascii="Times New Roman" w:hAnsi="Times New Roman" w:cs="Times New Roman"/>
          <w:bCs/>
        </w:rPr>
        <w:t xml:space="preserve"> Derslerle ilgili araç gereçlerin kullanılması,</w:t>
      </w:r>
    </w:p>
    <w:p>
      <w:pPr>
        <w:pStyle w:val="para9"/>
        <w:rPr>
          <w:rFonts w:ascii="Times New Roman" w:hAnsi="Times New Roman" w:cs="Times New Roman"/>
        </w:rPr>
      </w:pPr>
      <w:r>
        <w:rPr>
          <w:rFonts w:ascii="Times New Roman" w:hAnsi="Times New Roman" w:cs="Times New Roman"/>
        </w:rPr>
        <w:t xml:space="preserve"> Okulumuzda 3 tane bilgisayar laboratuarının olduğu; bilgisayarın derslerde azami ölçüde kullanılması, imkanlar ölçüsünde okul idaresi ile işbirliği içinde bulunup bilgisayarların yenilenmesi, bilgisayarlara yeni ve güncel muhasebe programlarının yüklenmesi, ofis programlarının yüklenmesi, imkanlar ölçüsünde yazar kasa kullanımının uygulamalı gerçekleştirilmesi, fax gönderip alma işleminin öğretilmesi, internet ağı kurulumu, bilgisayar donanım parçalarının monte edilmesi ve bilgisayar kurulumu, projeksiyon cihazı bağlantısı, projeksiyon cihazı kullanımı konularının öğrencilere öğretilmesi vurgulandı.</w:t>
      </w:r>
    </w:p>
    <w:p>
      <w:pPr>
        <w:pStyle w:val="para9"/>
        <w:rPr>
          <w:rFonts w:ascii="Times New Roman" w:hAnsi="Times New Roman" w:cs="Times New Roman"/>
        </w:rPr>
      </w:pPr>
      <w:r>
        <w:rPr>
          <w:rFonts w:ascii="Times New Roman" w:hAnsi="Times New Roman" w:cs="Times New Roman"/>
          <w:b/>
          <w:bCs/>
        </w:rPr>
        <w:t>7)</w:t>
      </w:r>
      <w:r>
        <w:rPr>
          <w:rFonts w:ascii="Times New Roman" w:hAnsi="Times New Roman" w:cs="Times New Roman"/>
        </w:rPr>
        <w:t>Yazılılarla ilgili esasların tespiti</w:t>
      </w:r>
    </w:p>
    <w:p>
      <w:pPr>
        <w:pStyle w:val="para9"/>
        <w:rPr>
          <w:rFonts w:ascii="Times New Roman" w:hAnsi="Times New Roman" w:cs="Times New Roman"/>
        </w:rPr>
      </w:pPr>
      <w:r>
        <w:rPr>
          <w:rFonts w:ascii="Times New Roman" w:hAnsi="Times New Roman" w:cs="Times New Roman"/>
        </w:rPr>
        <w:t>Nota bağlı olan bütün derslerde 1. dönem için 1 yazılı sınav yapılacak ve 2performans verilecektir. Verilen bu notlar sonucu başarısız olan öğrenciler için telafi sınavı yapılacak, isterlerse başarılı olan öğrencilerde bu sınavlara girebileceklerdir.</w:t>
      </w:r>
    </w:p>
    <w:p>
      <w:pPr>
        <w:pStyle w:val="para9"/>
        <w:rPr>
          <w:rFonts w:ascii="Times New Roman" w:hAnsi="Times New Roman" w:cs="Times New Roman"/>
        </w:rPr>
      </w:pPr>
      <w:r>
        <w:rPr>
          <w:rFonts w:ascii="Times New Roman" w:hAnsi="Times New Roman" w:cs="Times New Roman"/>
        </w:rPr>
        <w:t>Yazılı sınavlar çoktan seçmeli, eşleştirmeli, kısa cevaplı, açık uçlu, doğru/yanlış tamamlamalı ve benzeri sınav türlerinde olabilecek ve soru sayısının çok, soruların kısa cevaplı olmasına özen gösterilecektir. 2. Dönem için salgının seyrine göre yazılı ve uygulma notlarının tespit edilip verilmesi kararlaştırıldı</w:t>
      </w:r>
    </w:p>
    <w:p>
      <w:pPr>
        <w:pStyle w:val="para9"/>
        <w:rPr>
          <w:rFonts w:ascii="Times New Roman" w:hAnsi="Times New Roman" w:cs="Times New Roman"/>
          <w:bCs/>
        </w:rPr>
      </w:pPr>
      <w:r>
        <w:rPr>
          <w:rFonts w:ascii="Times New Roman" w:hAnsi="Times New Roman" w:cs="Times New Roman"/>
          <w:b/>
          <w:bCs/>
        </w:rPr>
        <w:t>8)</w:t>
      </w:r>
      <w:r>
        <w:rPr>
          <w:rFonts w:ascii="Times New Roman" w:hAnsi="Times New Roman" w:cs="Times New Roman"/>
          <w:bCs/>
        </w:rPr>
        <w:t>Atatürk ilke ve inkılaplarının ders konularına yansıtılması</w:t>
      </w:r>
    </w:p>
    <w:p>
      <w:pPr>
        <w:pStyle w:val="para9"/>
        <w:rPr>
          <w:rFonts w:ascii="Times New Roman" w:hAnsi="Times New Roman" w:cs="Times New Roman"/>
        </w:rPr>
      </w:pPr>
      <w:r>
        <w:rPr>
          <w:rFonts w:ascii="Times New Roman" w:hAnsi="Times New Roman" w:cs="Times New Roman"/>
        </w:rPr>
        <w:tab/>
        <w:t>2104.2433.2457.2488 Sayılı Tebliğler dergilerinde yer alan Atatürk İlke ve İnkılâplarına bağlı bir gençlik yetiştirilmeye çalışılması kararı alındı.</w:t>
      </w:r>
    </w:p>
    <w:p>
      <w:pPr>
        <w:pStyle w:val="para9"/>
        <w:rPr>
          <w:rFonts w:ascii="Times New Roman" w:hAnsi="Times New Roman" w:cs="Times New Roman"/>
        </w:rPr>
      </w:pPr>
      <w:r>
        <w:rPr>
          <w:rFonts w:ascii="Times New Roman" w:hAnsi="Times New Roman" w:cs="Times New Roman"/>
        </w:rPr>
        <w:t>Özel gün ve haftalarda Atatürk’ün hayatı, gençliği ve başarıları üzerinde durulmasına karar verildi.</w:t>
        <w:tab/>
      </w:r>
    </w:p>
    <w:p>
      <w:pPr>
        <w:pStyle w:val="para9"/>
        <w:rPr>
          <w:rFonts w:ascii="Times New Roman" w:hAnsi="Times New Roman" w:cs="Times New Roman"/>
          <w:bCs/>
        </w:rPr>
      </w:pPr>
      <w:r>
        <w:rPr>
          <w:rFonts w:ascii="Times New Roman" w:hAnsi="Times New Roman" w:cs="Times New Roman"/>
          <w:bCs/>
        </w:rPr>
      </w:r>
    </w:p>
    <w:p>
      <w:pPr>
        <w:pStyle w:val="para9"/>
        <w:rPr>
          <w:rFonts w:ascii="Times New Roman" w:hAnsi="Times New Roman" w:cs="Times New Roman"/>
          <w:bCs/>
        </w:rPr>
      </w:pPr>
      <w:r>
        <w:rPr>
          <w:rFonts w:ascii="Times New Roman" w:hAnsi="Times New Roman" w:cs="Times New Roman"/>
          <w:b/>
          <w:bCs/>
        </w:rPr>
        <w:t>9)</w:t>
      </w:r>
      <w:r>
        <w:rPr>
          <w:rFonts w:ascii="Times New Roman" w:hAnsi="Times New Roman" w:cs="Times New Roman"/>
        </w:rPr>
        <w:t>Derslerde başarının arttırılması için alı</w:t>
      </w:r>
      <w:r>
        <w:rPr>
          <w:rFonts w:ascii="Times New Roman" w:hAnsi="Times New Roman" w:cs="Times New Roman"/>
          <w:bCs/>
        </w:rPr>
        <w:t>nacak tedbirler ve yapılacak çalışmalar</w:t>
      </w:r>
      <w:r>
        <w:rPr>
          <w:rFonts w:ascii="Times New Roman" w:hAnsi="Times New Roman" w:cs="Times New Roman"/>
          <w:bCs/>
        </w:rPr>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bCs/>
        </w:rPr>
        <w:tab/>
      </w:r>
      <w:r>
        <w:rPr>
          <w:rFonts w:ascii="Times New Roman" w:hAnsi="Times New Roman" w:cs="Times New Roman"/>
        </w:rPr>
        <w:t>Daha iyi ve daha nitelikli bir eğitim için şu uygulamaların hayata geçirilmesinin gerekliliği üzerinde durulmuştur:</w:t>
      </w:r>
    </w:p>
    <w:p>
      <w:pPr>
        <w:pStyle w:val="para9"/>
        <w:rPr>
          <w:rFonts w:ascii="Times New Roman" w:hAnsi="Times New Roman" w:cs="Times New Roman"/>
        </w:rPr>
      </w:pPr>
      <w:r>
        <w:rPr>
          <w:rFonts w:ascii="Times New Roman" w:hAnsi="Times New Roman" w:cs="Times New Roman"/>
          <w:b/>
          <w:bCs/>
        </w:rPr>
        <w:t>a.</w:t>
      </w:r>
      <w:r>
        <w:rPr>
          <w:rFonts w:ascii="Times New Roman" w:hAnsi="Times New Roman" w:cs="Times New Roman"/>
        </w:rPr>
        <w:t>Birinci dönem itibariyle öğrenci velileriyle gerek yüz yüze gerek telefonla bilgi alışverişi yapılmıştır. İkinci dönem içinde öğrenci velileriyle sık sık irtibat kurmak, onların okula daha çok gelmesini sağlamak gerekirse biz öğretmenlerin de öğrenci ziyaretleri gerçekleştirerek onlara değer verdiğimizi göstermek.</w:t>
        <w:br w:type="textWrapping"/>
      </w:r>
      <w:r>
        <w:rPr>
          <w:rFonts w:ascii="Times New Roman" w:hAnsi="Times New Roman" w:cs="Times New Roman"/>
          <w:b/>
          <w:bCs/>
        </w:rPr>
        <w:t>b.</w:t>
      </w:r>
      <w:r>
        <w:rPr>
          <w:rFonts w:ascii="Times New Roman" w:hAnsi="Times New Roman" w:cs="Times New Roman"/>
        </w:rPr>
        <w:t xml:space="preserve"> Okul kütüphanesi ve bilgisayar laboratuvarı daha aktif ve verimli biçimde kullanmak.</w:t>
      </w:r>
    </w:p>
    <w:p>
      <w:pPr>
        <w:pStyle w:val="para9"/>
        <w:rPr>
          <w:rFonts w:ascii="Times New Roman" w:hAnsi="Times New Roman" w:cs="Times New Roman"/>
        </w:rPr>
      </w:pPr>
      <w:r>
        <w:rPr>
          <w:rFonts w:ascii="Times New Roman" w:hAnsi="Times New Roman" w:cs="Times New Roman"/>
          <w:b/>
          <w:bCs/>
        </w:rPr>
        <w:t>c.</w:t>
      </w:r>
      <w:r>
        <w:rPr>
          <w:rFonts w:ascii="Times New Roman" w:hAnsi="Times New Roman" w:cs="Times New Roman"/>
        </w:rPr>
        <w:t xml:space="preserve"> Öğrencilerin EBA ve ZOOM üzerinden dersleri takibini sağlamak.</w:t>
      </w:r>
    </w:p>
    <w:p>
      <w:pPr>
        <w:pStyle w:val="para9"/>
        <w:rPr>
          <w:rFonts w:ascii="Times New Roman" w:hAnsi="Times New Roman" w:cs="Times New Roman"/>
        </w:rPr>
      </w:pPr>
      <w:r>
        <w:rPr>
          <w:rFonts w:ascii="Times New Roman" w:hAnsi="Times New Roman" w:cs="Times New Roman"/>
          <w:b/>
          <w:bCs/>
        </w:rPr>
        <w:t>d.</w:t>
      </w:r>
      <w:r>
        <w:rPr>
          <w:rFonts w:ascii="Times New Roman" w:hAnsi="Times New Roman" w:cs="Times New Roman"/>
        </w:rPr>
        <w:t xml:space="preserve"> Mümkün olduğu kadar her öğrenciyle bire bir ilgilenmek ve dersin bireysel anlamda da benimsenip sevilmesini sağlamak.</w:t>
      </w:r>
    </w:p>
    <w:p>
      <w:pPr>
        <w:pStyle w:val="para9"/>
        <w:rPr>
          <w:rFonts w:ascii="Times New Roman" w:hAnsi="Times New Roman" w:cs="Times New Roman"/>
        </w:rPr>
      </w:pPr>
      <w:r>
        <w:rPr>
          <w:rFonts w:ascii="Times New Roman" w:hAnsi="Times New Roman" w:cs="Times New Roman"/>
          <w:b/>
          <w:bCs/>
        </w:rPr>
        <w:t>e.</w:t>
      </w:r>
      <w:r>
        <w:rPr>
          <w:rFonts w:ascii="Times New Roman" w:hAnsi="Times New Roman" w:cs="Times New Roman"/>
        </w:rPr>
        <w:t xml:space="preserve"> Öğrencileri ders içinde aktif tutabilecek heyecan ve istekte olmak, buna binaen de dersin zevkli ve renkli geçmesine yönelik faaliyetlerde bulunmak.</w:t>
      </w:r>
    </w:p>
    <w:p>
      <w:pPr>
        <w:pStyle w:val="para9"/>
        <w:rPr>
          <w:rFonts w:ascii="Times New Roman" w:hAnsi="Times New Roman" w:cs="Times New Roman"/>
        </w:rPr>
      </w:pPr>
      <w:r>
        <w:rPr>
          <w:rFonts w:ascii="Times New Roman" w:hAnsi="Times New Roman" w:cs="Times New Roman"/>
          <w:b/>
          <w:bCs/>
        </w:rPr>
        <w:t>10)</w:t>
      </w:r>
      <w:r>
        <w:rPr>
          <w:rFonts w:ascii="Times New Roman" w:hAnsi="Times New Roman" w:cs="Times New Roman"/>
          <w:bCs/>
        </w:rPr>
        <w:t xml:space="preserve"> Dilek ve temenniler</w:t>
      </w: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rPr>
      </w:r>
    </w:p>
    <w:p>
      <w:pPr>
        <w:pStyle w:val="para9"/>
        <w:rPr>
          <w:rFonts w:ascii="Times New Roman" w:hAnsi="Times New Roman" w:cs="Times New Roman"/>
        </w:rPr>
      </w:pPr>
      <w:r>
        <w:rPr>
          <w:rFonts w:ascii="Times New Roman" w:hAnsi="Times New Roman" w:cs="Times New Roman"/>
        </w:rPr>
        <w:t xml:space="preserve">Bu toplantıda alınan kararların okulumuza ve öğrencilerimize hayırlı olması ve 2020-2021 eğitim-öğretim yılının 2. döneminin 1. döneminden daha başarılı geçmesi dilek ve temennisinde bulunulmuş, toplantı sonlandırılmıştır. </w:t>
      </w:r>
    </w:p>
    <w:p>
      <w:pPr>
        <w:spacing/>
        <w:jc w:val="center"/>
        <w:rPr>
          <w:rFonts w:ascii="Times New Roman" w:hAnsi="Times New Roman" w:cs="Times New Roman"/>
        </w:rPr>
      </w:pPr>
      <w:r>
        <w:rPr>
          <w:rFonts w:ascii="Times New Roman" w:hAnsi="Times New Roman" w:cs="Times New Roman"/>
        </w:rPr>
      </w:r>
    </w:p>
    <w:p>
      <w:pPr>
        <w:rPr>
          <w:rFonts w:ascii="Comic Sans MS" w:hAnsi="Comic Sans MS"/>
          <w:color w:val="0070c0"/>
          <w:u w:color="auto" w:val="single"/>
        </w:rPr>
      </w:pPr>
      <w:r>
        <w:tab/>
        <w:tab/>
        <w:tab/>
        <w:tab/>
        <w:tab/>
        <w:tab/>
        <w:tab/>
        <w:tab/>
        <w:t xml:space="preserve">      18.02.2021</w:t>
        <w:tab/>
      </w:r>
      <w:r>
        <w:rPr>
          <w:rFonts w:ascii="Comic Sans MS" w:hAnsi="Comic Sans MS"/>
          <w:color w:val="0070c0"/>
          <w:u w:color="auto" w:val="single"/>
        </w:rPr>
      </w:r>
    </w:p>
    <w:p>
      <w:pPr>
        <w:pStyle w:val="para11"/>
        <w:spacing w:after="0" w:line="240" w:lineRule="auto"/>
        <w:rPr>
          <w:sz w:val="22"/>
          <w:szCs w:val="22"/>
        </w:rPr>
      </w:pPr>
      <w:r>
        <w:rPr>
          <w:sz w:val="22"/>
          <w:szCs w:val="22"/>
        </w:rPr>
        <w:tab/>
        <w:t>Oğuz ZİYAN</w:t>
        <w:tab/>
        <w:tab/>
        <w:tab/>
        <w:tab/>
        <w:t>Tuncer ÇINGIL</w:t>
        <w:tab/>
        <w:tab/>
        <w:t xml:space="preserve">  Yasin LOĞOĞLU</w:t>
      </w:r>
    </w:p>
    <w:p>
      <w:pPr>
        <w:pStyle w:val="para11"/>
        <w:spacing w:after="0" w:line="240" w:lineRule="auto"/>
        <w:rPr>
          <w:sz w:val="22"/>
          <w:szCs w:val="22"/>
        </w:rPr>
      </w:pPr>
      <w:r>
        <w:rPr>
          <w:sz w:val="22"/>
          <w:szCs w:val="22"/>
        </w:rPr>
        <w:t xml:space="preserve">Muhasebe Finansman Alan Şefi </w:t>
        <w:tab/>
        <w:tab/>
        <w:t xml:space="preserve">   Müdür Yard.</w:t>
        <w:tab/>
        <w:tab/>
        <w:tab/>
        <w:t xml:space="preserve">      Okul Müdürü</w:t>
      </w:r>
    </w:p>
    <w:p>
      <w:pPr>
        <w:pStyle w:val="para11"/>
        <w:spacing w:after="0" w:line="240" w:lineRule="auto"/>
        <w:rPr>
          <w:sz w:val="22"/>
          <w:szCs w:val="22"/>
        </w:rPr>
      </w:pPr>
      <w:r>
        <w:rPr>
          <w:sz w:val="22"/>
          <w:szCs w:val="22"/>
        </w:rPr>
        <w:tab/>
        <w:t>Zümre Başkanı</w:t>
        <w:tab/>
        <w:tab/>
        <w:tab/>
        <w:tab/>
        <w:tab/>
        <w:tab/>
        <w:tab/>
        <w:tab/>
        <w:tab/>
      </w:r>
    </w:p>
    <w:p>
      <w:pPr>
        <w:pStyle w:val="para9"/>
        <w:rPr>
          <w:rFonts w:ascii="Times New Roman" w:hAnsi="Times New Roman" w:cs="Times New Roman"/>
        </w:rPr>
      </w:pPr>
      <w:r>
        <w:rPr>
          <w:rFonts w:ascii="Times New Roman" w:hAnsi="Times New Roman" w:cs="Times New Roman"/>
        </w:rPr>
      </w:r>
    </w:p>
    <w:sectPr>
      <w:footnotePr>
        <w:pos w:val="pageBottom"/>
        <w:numFmt w:val="decimal"/>
        <w:numStart w:val="1"/>
        <w:numRestart w:val="continuous"/>
      </w:footnotePr>
      <w:endnotePr>
        <w:pos w:val="docEnd"/>
        <w:numFmt w:val="decimal"/>
        <w:numStart w:val="1"/>
        <w:numRestart w:val="continuous"/>
      </w:endnotePr>
      <w:footerReference w:type="default" r:id="rId9"/>
      <w:type w:val="nextPage"/>
      <w:pgSz w:h="16838" w:w="11906"/>
      <w:pgMar w:left="720" w:top="720" w:right="720" w:bottom="720" w:header="0" w:footer="708"/>
      <w:paperSrc w:first="0" w:other="0" a="0" b="0"/>
      <w:pgNumType w:fmt="decimal"/>
      <w:tmGutter w:val="3"/>
      <w:mirrorMargins w:val="0"/>
      <w:tmSection w:h="-2">
        <w:tmFooter w:id="0" w:h="0" edge="708"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Symbol">
    <w:panose1 w:val="05050102010706020507"/>
    <w:charset w:val="02"/>
    <w:family w:val="roman"/>
    <w:pitch w:val="default"/>
  </w:font>
  <w:font w:name="Calibri">
    <w:panose1 w:val="020F0502020204030204"/>
    <w:charset w:val="a2"/>
    <w:family w:val="swiss"/>
    <w:pitch w:val="default"/>
  </w:font>
  <w:font w:name="Tahoma">
    <w:panose1 w:val="020B0604030504040204"/>
    <w:charset w:val="00"/>
    <w:family w:val="swiss"/>
    <w:pitch w:val="default"/>
  </w:font>
  <w:font w:name="Comic Sans MS">
    <w:panose1 w:val="030F0702030302020204"/>
    <w:charset w:val="a2"/>
    <w:family w:val="script"/>
    <w:pitch w:val="default"/>
  </w:font>
  <w:font w:name="Cambria">
    <w:panose1 w:val="02040503050406030204"/>
    <w:charset w:val="a2"/>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8"/>
      <w:spacing/>
      <w:jc w:val="right"/>
    </w:pPr>
    <w:r>
      <w:t xml:space="preserve">Sayfa </w:t>
    </w:r>
    <w:r>
      <w:rPr>
        <w:b/>
        <w:bCs/>
        <w:sz w:val="24"/>
        <w:szCs w:val="24"/>
      </w:rPr>
    </w:r>
    <w:r>
      <w:rPr>
        <w:b/>
        <w:bCs/>
        <w:sz w:val="24"/>
        <w:szCs w:val="24"/>
      </w:rPr>
      <w:fldChar w:fldCharType="begin"/>
      <w:instrText xml:space="preserve"> PAGE </w:instrText>
      <w:fldChar w:fldCharType="separate"/>
      <w:t>2</w:t>
      <w:fldChar w:fldCharType="end"/>
    </w:r>
    <w:r>
      <w:t xml:space="preserve"> / </w:t>
    </w:r>
    <w:r>
      <w:rPr>
        <w:b/>
        <w:bCs/>
        <w:sz w:val="24"/>
        <w:szCs w:val="24"/>
      </w:rPr>
    </w:r>
    <w:r>
      <w:rPr>
        <w:b/>
        <w:bCs/>
        <w:sz w:val="24"/>
        <w:szCs w:val="24"/>
      </w:rPr>
      <w:fldChar w:fldCharType="begin"/>
      <w:instrText xml:space="preserve"> NUMPAGES </w:instrText>
      <w:fldChar w:fldCharType="separate"/>
      <w:t>2</w:t>
      <w:fldChar w:fldCharType="end"/>
    </w:r>
    <w:r/>
  </w:p>
  <w:p>
    <w:pPr>
      <w:pStyle w:val="para8"/>
    </w:pPr>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singleLevel"/>
    <w:name w:val="Numaralandırılmış liste 1"/>
    <w:lvl w:ilvl="0">
      <w:numFmt w:val="bullet"/>
      <w:suff w:val="tab"/>
      <w:lvlText w:val="*"/>
      <w:lvlJc w:val="left"/>
      <w:pPr>
        <w:ind w:left="0" w:hanging="0"/>
      </w:pPr>
    </w:lvl>
  </w:abstractNum>
  <w:abstractNum w:abstractNumId="2">
    <w:multiLevelType w:val="hybridMultilevel"/>
    <w:name w:val="Numaralandırılmış liste 2"/>
    <w:lvl w:ilvl="0">
      <w:start w:val="1"/>
      <w:numFmt w:val="upperRoman"/>
      <w:suff w:val="tab"/>
      <w:lvlText w:val="%1."/>
      <w:lvlJc w:val="left"/>
      <w:pPr>
        <w:ind w:left="708" w:hanging="0"/>
      </w:pPr>
    </w:lvl>
    <w:lvl w:ilvl="1">
      <w:start w:val="1"/>
      <w:numFmt w:val="lowerLetter"/>
      <w:suff w:val="tab"/>
      <w:lvlText w:val="%2."/>
      <w:lvlJc w:val="left"/>
      <w:pPr>
        <w:ind w:left="1428" w:hanging="0"/>
      </w:pPr>
    </w:lvl>
    <w:lvl w:ilvl="2">
      <w:start w:val="1"/>
      <w:numFmt w:val="lowerRoman"/>
      <w:suff w:val="tab"/>
      <w:lvlText w:val="%3."/>
      <w:lvlJc w:val="left"/>
      <w:pPr>
        <w:ind w:left="2328" w:hanging="0"/>
      </w:pPr>
    </w:lvl>
    <w:lvl w:ilvl="3">
      <w:start w:val="1"/>
      <w:numFmt w:val="decimal"/>
      <w:suff w:val="tab"/>
      <w:lvlText w:val="%4."/>
      <w:lvlJc w:val="left"/>
      <w:pPr>
        <w:ind w:left="2868" w:hanging="0"/>
      </w:pPr>
    </w:lvl>
    <w:lvl w:ilvl="4">
      <w:start w:val="1"/>
      <w:numFmt w:val="lowerLetter"/>
      <w:suff w:val="tab"/>
      <w:lvlText w:val="%5."/>
      <w:lvlJc w:val="left"/>
      <w:pPr>
        <w:ind w:left="3588" w:hanging="0"/>
      </w:pPr>
    </w:lvl>
    <w:lvl w:ilvl="5">
      <w:start w:val="1"/>
      <w:numFmt w:val="lowerRoman"/>
      <w:suff w:val="tab"/>
      <w:lvlText w:val="%6."/>
      <w:lvlJc w:val="left"/>
      <w:pPr>
        <w:ind w:left="4488" w:hanging="0"/>
      </w:pPr>
    </w:lvl>
    <w:lvl w:ilvl="6">
      <w:start w:val="1"/>
      <w:numFmt w:val="decimal"/>
      <w:suff w:val="tab"/>
      <w:lvlText w:val="%7."/>
      <w:lvlJc w:val="left"/>
      <w:pPr>
        <w:ind w:left="5028" w:hanging="0"/>
      </w:pPr>
    </w:lvl>
    <w:lvl w:ilvl="7">
      <w:start w:val="1"/>
      <w:numFmt w:val="lowerLetter"/>
      <w:suff w:val="tab"/>
      <w:lvlText w:val="%8."/>
      <w:lvlJc w:val="left"/>
      <w:pPr>
        <w:ind w:left="5748" w:hanging="0"/>
      </w:pPr>
    </w:lvl>
    <w:lvl w:ilvl="8">
      <w:start w:val="1"/>
      <w:numFmt w:val="lowerRoman"/>
      <w:suff w:val="tab"/>
      <w:lvlText w:val="%9."/>
      <w:lvlJc w:val="left"/>
      <w:pPr>
        <w:ind w:left="6648" w:hanging="0"/>
      </w:pPr>
    </w:lvl>
  </w:abstractNum>
  <w:abstractNum w:abstractNumId="3">
    <w:multiLevelType w:val="hybridMultilevel"/>
    <w:name w:val="Numaralandırılmış liste 3"/>
    <w:lvl w:ilvl="0">
      <w:start w:val="1"/>
      <w:numFmt w:val="upperRoman"/>
      <w:suff w:val="tab"/>
      <w:lvlText w:val="%1."/>
      <w:lvlJc w:val="left"/>
      <w:pPr>
        <w:ind w:left="708" w:hanging="0"/>
      </w:pPr>
    </w:lvl>
    <w:lvl w:ilvl="1">
      <w:start w:val="1"/>
      <w:numFmt w:val="lowerLetter"/>
      <w:suff w:val="tab"/>
      <w:lvlText w:val="%2."/>
      <w:lvlJc w:val="left"/>
      <w:pPr>
        <w:ind w:left="1428" w:hanging="0"/>
      </w:pPr>
    </w:lvl>
    <w:lvl w:ilvl="2">
      <w:start w:val="1"/>
      <w:numFmt w:val="lowerRoman"/>
      <w:suff w:val="tab"/>
      <w:lvlText w:val="%3."/>
      <w:lvlJc w:val="left"/>
      <w:pPr>
        <w:ind w:left="2328" w:hanging="0"/>
      </w:pPr>
    </w:lvl>
    <w:lvl w:ilvl="3">
      <w:start w:val="1"/>
      <w:numFmt w:val="decimal"/>
      <w:suff w:val="tab"/>
      <w:lvlText w:val="%4."/>
      <w:lvlJc w:val="left"/>
      <w:pPr>
        <w:ind w:left="2868" w:hanging="0"/>
      </w:pPr>
    </w:lvl>
    <w:lvl w:ilvl="4">
      <w:start w:val="1"/>
      <w:numFmt w:val="lowerLetter"/>
      <w:suff w:val="tab"/>
      <w:lvlText w:val="%5."/>
      <w:lvlJc w:val="left"/>
      <w:pPr>
        <w:ind w:left="3588" w:hanging="0"/>
      </w:pPr>
    </w:lvl>
    <w:lvl w:ilvl="5">
      <w:start w:val="1"/>
      <w:numFmt w:val="lowerRoman"/>
      <w:suff w:val="tab"/>
      <w:lvlText w:val="%6."/>
      <w:lvlJc w:val="left"/>
      <w:pPr>
        <w:ind w:left="4488" w:hanging="0"/>
      </w:pPr>
    </w:lvl>
    <w:lvl w:ilvl="6">
      <w:start w:val="1"/>
      <w:numFmt w:val="decimal"/>
      <w:suff w:val="tab"/>
      <w:lvlText w:val="%7."/>
      <w:lvlJc w:val="left"/>
      <w:pPr>
        <w:ind w:left="5028" w:hanging="0"/>
      </w:pPr>
    </w:lvl>
    <w:lvl w:ilvl="7">
      <w:start w:val="1"/>
      <w:numFmt w:val="lowerLetter"/>
      <w:suff w:val="tab"/>
      <w:lvlText w:val="%8."/>
      <w:lvlJc w:val="left"/>
      <w:pPr>
        <w:ind w:left="5748" w:hanging="0"/>
      </w:pPr>
    </w:lvl>
    <w:lvl w:ilvl="8">
      <w:start w:val="1"/>
      <w:numFmt w:val="lowerRoman"/>
      <w:suff w:val="tab"/>
      <w:lvlText w:val="%9."/>
      <w:lvlJc w:val="left"/>
      <w:pPr>
        <w:ind w:left="6648" w:hanging="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110"/>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2049"/>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9"/>
    <w:tmReviewMarkIns w:val="4"/>
    <w:tmReviewColorIns w:val="-1"/>
    <w:tmReviewMarkDel w:val="6"/>
    <w:tmReviewColorDel w:val="-1"/>
    <w:tmReviewMarkFmt w:val="1"/>
    <w:tmReviewColorFmt w:val="-1"/>
    <w:tmReviewMarkLn w:val="1"/>
    <w:tmReviewColorLn w:val="0"/>
    <w:tmReviewToolTip w:val="1"/>
  </w:tmReviewPr>
  <w:tmLastPos>
    <w:tmLastPosPage w:val="1"/>
    <w:tmLastPosSelect w:val="0"/>
    <w:tmLastPosFrameIdx w:val="0"/>
    <w:tmLastPosCaret>
      <w:tmLastPosPgfIdx w:val="60"/>
      <w:tmLastPosIdx w:val="1"/>
    </w:tmLastPosCaret>
    <w:tmLastPosAnchor>
      <w:tmLastPosPgfIdx w:val="0"/>
      <w:tmLastPosIdx w:val="0"/>
    </w:tmLastPosAnchor>
    <w:tmLastPosTblRect w:left="0" w:top="0" w:right="0" w:bottom="0"/>
  </w:tmLastPos>
  <w:tmAppRevision w:date="1613826297" w:val="982" w:fileVer="342" w:fileVerOS="4"/>
  <w:guidesAndGrid showGuides="1" lockGuides="0" snapToGuides="1" snapToPageMargins="0" tolerance="8" gridDistanceHorizontal="110"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cs="Calibri"/>
    </w:rPr>
  </w:style>
  <w:style w:type="paragraph" w:styleId="para1">
    <w:name w:val="heading 3"/>
    <w:qFormat/>
    <w:basedOn w:val="para0"/>
    <w:next w:val="para0"/>
    <w:pPr>
      <w:spacing w:after="0" w:line="240" w:lineRule="auto"/>
      <w:keepNext/>
      <w:outlineLvl w:val="2"/>
      <w:tabs defTabSz="708">
        <w:tab w:val="left" w:pos="915" w:leader="none"/>
      </w:tabs>
    </w:pPr>
    <w:rPr>
      <w:rFonts w:ascii="Arial" w:hAnsi="Arial" w:eastAsia="Times New Roman" w:cs="Times New Roman"/>
      <w:b/>
      <w:bCs/>
      <w:sz w:val="20"/>
      <w:szCs w:val="20"/>
    </w:rPr>
  </w:style>
  <w:style w:type="paragraph" w:styleId="para2" w:customStyle="1">
    <w:name w:val="paraf"/>
    <w:qFormat/>
    <w:basedOn w:val="para0"/>
    <w:pPr>
      <w:spacing w:before="100" w:after="100" w:beforeAutospacing="1" w:afterAutospacing="1" w:line="240" w:lineRule="auto"/>
    </w:pPr>
    <w:rPr>
      <w:rFonts w:ascii="Times New Roman" w:hAnsi="Times New Roman" w:cs="Times New Roman"/>
      <w:sz w:val="24"/>
      <w:szCs w:val="24"/>
    </w:rPr>
  </w:style>
  <w:style w:type="paragraph" w:styleId="para3">
    <w:name w:val="Balloon Text"/>
    <w:qFormat/>
    <w:basedOn w:val="para0"/>
    <w:pPr>
      <w:spacing w:after="0" w:line="240" w:lineRule="auto"/>
    </w:pPr>
    <w:rPr>
      <w:rFonts w:ascii="Tahoma" w:hAnsi="Tahoma" w:cs="Tahoma"/>
      <w:sz w:val="16"/>
      <w:szCs w:val="16"/>
    </w:rPr>
  </w:style>
  <w:style w:type="paragraph" w:styleId="para4">
    <w:name w:val="Body Text"/>
    <w:qFormat/>
    <w:basedOn w:val="para0"/>
    <w:pPr>
      <w:spacing w:after="120" w:line="240" w:lineRule="auto"/>
    </w:pPr>
    <w:rPr>
      <w:rFonts w:ascii="Times New Roman" w:hAnsi="Times New Roman" w:eastAsia="Times New Roman" w:cs="Times New Roman"/>
      <w:sz w:val="24"/>
      <w:szCs w:val="24"/>
    </w:rPr>
  </w:style>
  <w:style w:type="paragraph" w:styleId="para5">
    <w:name w:val="List Paragraph"/>
    <w:qFormat/>
    <w:basedOn w:val="para0"/>
    <w:pPr>
      <w:ind w:left="720"/>
      <w:contextualSpacing/>
    </w:pPr>
  </w:style>
  <w:style w:type="paragraph" w:styleId="para6">
    <w:name w:val="Normal (Web)"/>
    <w:qFormat/>
    <w:basedOn w:val="para0"/>
    <w:pPr>
      <w:spacing w:before="100" w:after="100" w:beforeAutospacing="1" w:afterAutospacing="1" w:line="240" w:lineRule="auto"/>
    </w:pPr>
    <w:rPr>
      <w:rFonts w:ascii="Times New Roman" w:hAnsi="Times New Roman" w:cs="Times New Roman"/>
      <w:sz w:val="24"/>
      <w:szCs w:val="24"/>
    </w:rPr>
  </w:style>
  <w:style w:type="paragraph" w:styleId="para7">
    <w:name w:val="Header"/>
    <w:qFormat/>
    <w:basedOn w:val="para0"/>
    <w:pPr>
      <w:spacing w:after="0" w:line="240" w:lineRule="auto"/>
      <w:tabs defTabSz="708">
        <w:tab w:val="center" w:pos="4536" w:leader="none"/>
        <w:tab w:val="right" w:pos="9072" w:leader="none"/>
      </w:tabs>
    </w:pPr>
  </w:style>
  <w:style w:type="paragraph" w:styleId="para8">
    <w:name w:val="Footer"/>
    <w:qFormat/>
    <w:basedOn w:val="para0"/>
    <w:pPr>
      <w:spacing w:after="0" w:line="240" w:lineRule="auto"/>
      <w:tabs defTabSz="708">
        <w:tab w:val="center" w:pos="4536" w:leader="none"/>
        <w:tab w:val="right" w:pos="9072" w:leader="none"/>
      </w:tabs>
    </w:pPr>
  </w:style>
  <w:style w:type="paragraph" w:styleId="para9">
    <w:name w:val="No Spacing"/>
    <w:qFormat/>
    <w:pPr>
      <w:spacing w:after="0" w:line="240" w:lineRule="auto"/>
    </w:pPr>
    <w:rPr>
      <w:rFonts w:ascii="Calibri" w:hAnsi="Calibri" w:eastAsia="Calibri" w:cs="Calibri"/>
      <w:sz w:val="22"/>
      <w:szCs w:val="22"/>
      <w:lang w:val="tr-tr" w:bidi="ar-sa"/>
    </w:rPr>
  </w:style>
  <w:style w:type="paragraph" w:styleId="para10" w:customStyle="1">
    <w:name w:val="Bölüm Alt Konu Başlığı"/>
    <w:qFormat/>
    <w:basedOn w:val="para0"/>
    <w:next w:val="para4"/>
    <w:pPr>
      <w:spacing w:after="280" w:line="240" w:lineRule="auto"/>
      <w:jc w:val="center"/>
      <w:keepNext/>
      <w:keepLines/>
    </w:pPr>
    <w:rPr>
      <w:rFonts w:ascii="Times New Roman" w:hAnsi="Times New Roman" w:eastAsia="Times New Roman" w:cs="Times New Roman"/>
      <w:spacing w:val="2"/>
      <w:sz w:val="20"/>
      <w:szCs w:val="20"/>
    </w:rPr>
  </w:style>
  <w:style w:type="paragraph" w:styleId="para11">
    <w:name w:val="Body Text 2"/>
    <w:qFormat/>
    <w:basedOn w:val="para0"/>
    <w:pPr>
      <w:spacing w:after="120" w:line="480" w:lineRule="auto"/>
    </w:pPr>
    <w:rPr>
      <w:rFonts w:ascii="Times New Roman" w:hAnsi="Times New Roman" w:eastAsia="Times New Roman" w:cs="Times New Roman"/>
      <w:sz w:val="20"/>
      <w:szCs w:val="20"/>
    </w:rPr>
  </w:style>
  <w:style w:type="character" w:styleId="char0" w:default="1">
    <w:name w:val="Default Paragraph Font"/>
  </w:style>
  <w:style w:type="character" w:styleId="char1" w:customStyle="1">
    <w:name w:val="Balon Metni Char"/>
    <w:basedOn w:val="char0"/>
    <w:rPr>
      <w:rFonts w:ascii="Tahoma" w:hAnsi="Tahoma" w:cs="Tahoma"/>
      <w:sz w:val="16"/>
      <w:szCs w:val="16"/>
    </w:rPr>
  </w:style>
  <w:style w:type="character" w:styleId="char2" w:customStyle="1">
    <w:name w:val="Başlık 3 Char"/>
    <w:basedOn w:val="char0"/>
    <w:rPr>
      <w:rFonts w:ascii="Arial" w:hAnsi="Arial" w:eastAsia="Times New Roman"/>
      <w:b/>
      <w:bCs/>
      <w:sz w:val="20"/>
      <w:szCs w:val="20"/>
    </w:rPr>
  </w:style>
  <w:style w:type="character" w:styleId="char3" w:customStyle="1">
    <w:name w:val="Gövde Metni Char"/>
    <w:basedOn w:val="char0"/>
    <w:rPr>
      <w:rFonts w:ascii="Times New Roman" w:hAnsi="Times New Roman" w:eastAsia="Times New Roman"/>
      <w:sz w:val="24"/>
      <w:szCs w:val="24"/>
    </w:rPr>
  </w:style>
  <w:style w:type="character" w:styleId="char4">
    <w:name w:val="Hyperlink"/>
    <w:basedOn w:val="char0"/>
    <w:rPr>
      <w:color w:val="0000ff"/>
      <w:u w:color="auto" w:val="single"/>
    </w:rPr>
  </w:style>
  <w:style w:type="character" w:styleId="char5" w:customStyle="1">
    <w:name w:val="Üstbilgi Char"/>
    <w:basedOn w:val="char0"/>
    <w:rPr>
      <w:rFonts w:cs="Calibri"/>
    </w:rPr>
  </w:style>
  <w:style w:type="character" w:styleId="char6" w:customStyle="1">
    <w:name w:val="Altbilgi Char"/>
    <w:basedOn w:val="char0"/>
    <w:rPr>
      <w:rFonts w:cs="Calibri"/>
    </w:rPr>
  </w:style>
  <w:style w:type="character" w:styleId="char7" w:customStyle="1">
    <w:name w:val="Gövde Metni 2 Char"/>
    <w:basedOn w:val="char0"/>
    <w:rPr>
      <w:rFonts w:ascii="Times New Roman" w:hAnsi="Times New Roman" w:eastAsia="Times New Roman"/>
      <w:sz w:val="20"/>
      <w:szCs w:val="20"/>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200" w:line="276" w:lineRule="auto"/>
    </w:pPr>
    <w:rPr>
      <w:rFonts w:eastAsia="Times New Roman" w:cs="Calibri"/>
      <w:sz w:val="20"/>
      <w:szCs w:val="20"/>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cs="Calibri"/>
    </w:rPr>
  </w:style>
  <w:style w:type="paragraph" w:styleId="para1">
    <w:name w:val="heading 3"/>
    <w:qFormat/>
    <w:basedOn w:val="para0"/>
    <w:next w:val="para0"/>
    <w:pPr>
      <w:spacing w:after="0" w:line="240" w:lineRule="auto"/>
      <w:keepNext/>
      <w:outlineLvl w:val="2"/>
      <w:tabs defTabSz="708">
        <w:tab w:val="left" w:pos="915" w:leader="none"/>
      </w:tabs>
    </w:pPr>
    <w:rPr>
      <w:rFonts w:ascii="Arial" w:hAnsi="Arial" w:eastAsia="Times New Roman" w:cs="Times New Roman"/>
      <w:b/>
      <w:bCs/>
      <w:sz w:val="20"/>
      <w:szCs w:val="20"/>
    </w:rPr>
  </w:style>
  <w:style w:type="paragraph" w:styleId="para2" w:customStyle="1">
    <w:name w:val="paraf"/>
    <w:qFormat/>
    <w:basedOn w:val="para0"/>
    <w:pPr>
      <w:spacing w:before="100" w:after="100" w:beforeAutospacing="1" w:afterAutospacing="1" w:line="240" w:lineRule="auto"/>
    </w:pPr>
    <w:rPr>
      <w:rFonts w:ascii="Times New Roman" w:hAnsi="Times New Roman" w:cs="Times New Roman"/>
      <w:sz w:val="24"/>
      <w:szCs w:val="24"/>
    </w:rPr>
  </w:style>
  <w:style w:type="paragraph" w:styleId="para3">
    <w:name w:val="Balloon Text"/>
    <w:qFormat/>
    <w:basedOn w:val="para0"/>
    <w:pPr>
      <w:spacing w:after="0" w:line="240" w:lineRule="auto"/>
    </w:pPr>
    <w:rPr>
      <w:rFonts w:ascii="Tahoma" w:hAnsi="Tahoma" w:cs="Tahoma"/>
      <w:sz w:val="16"/>
      <w:szCs w:val="16"/>
    </w:rPr>
  </w:style>
  <w:style w:type="paragraph" w:styleId="para4">
    <w:name w:val="Body Text"/>
    <w:qFormat/>
    <w:basedOn w:val="para0"/>
    <w:pPr>
      <w:spacing w:after="120" w:line="240" w:lineRule="auto"/>
    </w:pPr>
    <w:rPr>
      <w:rFonts w:ascii="Times New Roman" w:hAnsi="Times New Roman" w:eastAsia="Times New Roman" w:cs="Times New Roman"/>
      <w:sz w:val="24"/>
      <w:szCs w:val="24"/>
    </w:rPr>
  </w:style>
  <w:style w:type="paragraph" w:styleId="para5">
    <w:name w:val="List Paragraph"/>
    <w:qFormat/>
    <w:basedOn w:val="para0"/>
    <w:pPr>
      <w:ind w:left="720"/>
      <w:contextualSpacing/>
    </w:pPr>
  </w:style>
  <w:style w:type="paragraph" w:styleId="para6">
    <w:name w:val="Normal (Web)"/>
    <w:qFormat/>
    <w:basedOn w:val="para0"/>
    <w:pPr>
      <w:spacing w:before="100" w:after="100" w:beforeAutospacing="1" w:afterAutospacing="1" w:line="240" w:lineRule="auto"/>
    </w:pPr>
    <w:rPr>
      <w:rFonts w:ascii="Times New Roman" w:hAnsi="Times New Roman" w:cs="Times New Roman"/>
      <w:sz w:val="24"/>
      <w:szCs w:val="24"/>
    </w:rPr>
  </w:style>
  <w:style w:type="paragraph" w:styleId="para7">
    <w:name w:val="Header"/>
    <w:qFormat/>
    <w:basedOn w:val="para0"/>
    <w:pPr>
      <w:spacing w:after="0" w:line="240" w:lineRule="auto"/>
      <w:tabs defTabSz="708">
        <w:tab w:val="center" w:pos="4536" w:leader="none"/>
        <w:tab w:val="right" w:pos="9072" w:leader="none"/>
      </w:tabs>
    </w:pPr>
  </w:style>
  <w:style w:type="paragraph" w:styleId="para8">
    <w:name w:val="Footer"/>
    <w:qFormat/>
    <w:basedOn w:val="para0"/>
    <w:pPr>
      <w:spacing w:after="0" w:line="240" w:lineRule="auto"/>
      <w:tabs defTabSz="708">
        <w:tab w:val="center" w:pos="4536" w:leader="none"/>
        <w:tab w:val="right" w:pos="9072" w:leader="none"/>
      </w:tabs>
    </w:pPr>
  </w:style>
  <w:style w:type="paragraph" w:styleId="para9">
    <w:name w:val="No Spacing"/>
    <w:qFormat/>
    <w:pPr>
      <w:spacing w:after="0" w:line="240" w:lineRule="auto"/>
    </w:pPr>
    <w:rPr>
      <w:rFonts w:ascii="Calibri" w:hAnsi="Calibri" w:eastAsia="Calibri" w:cs="Calibri"/>
      <w:sz w:val="22"/>
      <w:szCs w:val="22"/>
      <w:lang w:val="tr-tr" w:bidi="ar-sa"/>
    </w:rPr>
  </w:style>
  <w:style w:type="paragraph" w:styleId="para10" w:customStyle="1">
    <w:name w:val="Bölüm Alt Konu Başlığı"/>
    <w:qFormat/>
    <w:basedOn w:val="para0"/>
    <w:next w:val="para4"/>
    <w:pPr>
      <w:spacing w:after="280" w:line="240" w:lineRule="auto"/>
      <w:jc w:val="center"/>
      <w:keepNext/>
      <w:keepLines/>
    </w:pPr>
    <w:rPr>
      <w:rFonts w:ascii="Times New Roman" w:hAnsi="Times New Roman" w:eastAsia="Times New Roman" w:cs="Times New Roman"/>
      <w:spacing w:val="2"/>
      <w:sz w:val="20"/>
      <w:szCs w:val="20"/>
    </w:rPr>
  </w:style>
  <w:style w:type="paragraph" w:styleId="para11">
    <w:name w:val="Body Text 2"/>
    <w:qFormat/>
    <w:basedOn w:val="para0"/>
    <w:pPr>
      <w:spacing w:after="120" w:line="480" w:lineRule="auto"/>
    </w:pPr>
    <w:rPr>
      <w:rFonts w:ascii="Times New Roman" w:hAnsi="Times New Roman" w:eastAsia="Times New Roman" w:cs="Times New Roman"/>
      <w:sz w:val="20"/>
      <w:szCs w:val="20"/>
    </w:rPr>
  </w:style>
  <w:style w:type="character" w:styleId="char0" w:default="1">
    <w:name w:val="Default Paragraph Font"/>
  </w:style>
  <w:style w:type="character" w:styleId="char1" w:customStyle="1">
    <w:name w:val="Balon Metni Char"/>
    <w:basedOn w:val="char0"/>
    <w:rPr>
      <w:rFonts w:ascii="Tahoma" w:hAnsi="Tahoma" w:cs="Tahoma"/>
      <w:sz w:val="16"/>
      <w:szCs w:val="16"/>
    </w:rPr>
  </w:style>
  <w:style w:type="character" w:styleId="char2" w:customStyle="1">
    <w:name w:val="Başlık 3 Char"/>
    <w:basedOn w:val="char0"/>
    <w:rPr>
      <w:rFonts w:ascii="Arial" w:hAnsi="Arial" w:eastAsia="Times New Roman"/>
      <w:b/>
      <w:bCs/>
      <w:sz w:val="20"/>
      <w:szCs w:val="20"/>
    </w:rPr>
  </w:style>
  <w:style w:type="character" w:styleId="char3" w:customStyle="1">
    <w:name w:val="Gövde Metni Char"/>
    <w:basedOn w:val="char0"/>
    <w:rPr>
      <w:rFonts w:ascii="Times New Roman" w:hAnsi="Times New Roman" w:eastAsia="Times New Roman"/>
      <w:sz w:val="24"/>
      <w:szCs w:val="24"/>
    </w:rPr>
  </w:style>
  <w:style w:type="character" w:styleId="char4">
    <w:name w:val="Hyperlink"/>
    <w:basedOn w:val="char0"/>
    <w:rPr>
      <w:color w:val="0000ff"/>
      <w:u w:color="auto" w:val="single"/>
    </w:rPr>
  </w:style>
  <w:style w:type="character" w:styleId="char5" w:customStyle="1">
    <w:name w:val="Üstbilgi Char"/>
    <w:basedOn w:val="char0"/>
    <w:rPr>
      <w:rFonts w:cs="Calibri"/>
    </w:rPr>
  </w:style>
  <w:style w:type="character" w:styleId="char6" w:customStyle="1">
    <w:name w:val="Altbilgi Char"/>
    <w:basedOn w:val="char0"/>
    <w:rPr>
      <w:rFonts w:cs="Calibri"/>
    </w:rPr>
  </w:style>
  <w:style w:type="character" w:styleId="char7" w:customStyle="1">
    <w:name w:val="Gövde Metni 2 Char"/>
    <w:basedOn w:val="char0"/>
    <w:rPr>
      <w:rFonts w:ascii="Times New Roman" w:hAnsi="Times New Roman" w:eastAsia="Times New Roman"/>
      <w:sz w:val="20"/>
      <w:szCs w:val="20"/>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200" w:line="276" w:lineRule="auto"/>
    </w:pPr>
    <w:rPr>
      <w:rFonts w:eastAsia="Times New Roman" w:cs="Calibri"/>
      <w:sz w:val="20"/>
      <w:szCs w:val="20"/>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s://www.sorubak.com" TargetMode="Externa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Times New Roman"/>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Printed>2021-02-19T05:58:00Z</cp:lastPrinted>
  <dcterms:created xsi:type="dcterms:W3CDTF">2021-02-19T05:36:00Z</dcterms:created>
  <dcterms:modified xsi:type="dcterms:W3CDTF">2021-02-20T13:04:57Z</dcterms:modified>
</cp:coreProperties>
</file>