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horzAnchor="margin" w:vertAnchor="page" w:tblpY="2943" w:leftFromText="141" w:rightFromText="141" w:topFromText="0" w:bottomFromText="0"/>
        <w:tblOverlap w:val="never"/>
        <w:tblStyle w:val="TableGrid"/>
        <w:name w:val="Tablo1"/>
        <w:tabOrder w:val="0"/>
        <w:jc w:val="left"/>
        <w:tblInd w:w="0" w:type="dxa"/>
        <w:tblW w:w="9628" w:type="dxa"/>
        <w:tblLook w:val="04A0" w:firstRow="1" w:lastRow="0" w:firstColumn="1" w:lastColumn="0" w:noHBand="0" w:noVBand="1"/>
      </w:tblPr>
      <w:tblGrid>
        <w:gridCol w:w="3212"/>
        <w:gridCol w:w="1625"/>
        <w:gridCol w:w="1580"/>
        <w:gridCol w:w="3211"/>
      </w:tblGrid>
      <w:tr>
        <w:trPr>
          <w:cantSplit w:val="0"/>
          <w:trHeight w:val="0" w:hRule="auto"/>
        </w:trPr>
        <w:tc>
          <w:tcPr>
            <w:tcW w:w="9628" w:type="dxa"/>
            <w:gridSpan w:val="4"/>
            <w:tmTcPr id="1613763480" protected="0"/>
          </w:tcPr>
          <w:p>
            <w:pPr>
              <w:pStyle w:val="para1"/>
              <w:spacing/>
              <w:jc w:val="both"/>
              <w:rPr>
                <w:rFonts w:ascii="Times New Roman" w:hAnsi="Times New Roman"/>
                <w:b/>
              </w:rPr>
            </w:pPr>
            <w:r>
              <w:rPr>
                <w:rFonts w:ascii="Times New Roman" w:hAnsi="Times New Roman"/>
                <w:b/>
              </w:rPr>
              <w:t>GÜNDEM MADDELERİ:</w:t>
            </w:r>
          </w:p>
          <w:p>
            <w:pPr>
              <w:pStyle w:val="para1"/>
              <w:numPr>
                <w:ilvl w:val="0"/>
                <w:numId w:val="13"/>
              </w:numPr>
              <w:ind w:left="720" w:hanging="360"/>
              <w:spacing/>
              <w:jc w:val="both"/>
              <w:rPr>
                <w:rFonts w:ascii="Times New Roman" w:hAnsi="Times New Roman"/>
              </w:rPr>
            </w:pPr>
            <w:r>
              <w:rPr>
                <w:rFonts w:ascii="Times New Roman" w:hAnsi="Times New Roman"/>
              </w:rPr>
              <w:t>Açılış ve yoklama.</w:t>
            </w:r>
          </w:p>
          <w:p>
            <w:pPr>
              <w:pStyle w:val="para1"/>
              <w:numPr>
                <w:ilvl w:val="0"/>
                <w:numId w:val="13"/>
              </w:numPr>
              <w:ind w:left="720" w:hanging="360"/>
              <w:spacing/>
              <w:jc w:val="both"/>
              <w:rPr>
                <w:rFonts w:ascii="Times New Roman" w:hAnsi="Times New Roman"/>
              </w:rPr>
            </w:pPr>
            <w:r>
              <w:rPr>
                <w:rFonts w:ascii="Times New Roman" w:hAnsi="Times New Roman"/>
              </w:rPr>
              <w:t>Bir önceki toplantıda alınan kararların incelenmesi.</w:t>
            </w:r>
          </w:p>
          <w:p>
            <w:pPr>
              <w:pStyle w:val="para1"/>
              <w:numPr>
                <w:ilvl w:val="0"/>
                <w:numId w:val="13"/>
              </w:numPr>
              <w:ind w:left="720" w:hanging="360"/>
              <w:spacing/>
              <w:jc w:val="both"/>
              <w:rPr>
                <w:rFonts w:ascii="Times New Roman" w:hAnsi="Times New Roman"/>
              </w:rPr>
            </w:pPr>
            <w:r>
              <w:rPr>
                <w:rFonts w:ascii="Times New Roman" w:hAnsi="Times New Roman"/>
              </w:rPr>
              <w:t>İl düzeyinde uygulama birliğinin sağlanması.</w:t>
            </w:r>
          </w:p>
          <w:p>
            <w:pPr>
              <w:pStyle w:val="para1"/>
              <w:numPr>
                <w:ilvl w:val="0"/>
                <w:numId w:val="13"/>
              </w:numPr>
              <w:ind w:left="720" w:hanging="360"/>
              <w:spacing/>
              <w:jc w:val="both"/>
              <w:rPr>
                <w:rFonts w:ascii="Times New Roman" w:hAnsi="Times New Roman"/>
              </w:rPr>
            </w:pPr>
            <w:r>
              <w:rPr>
                <w:rFonts w:ascii="Times New Roman" w:hAnsi="Times New Roman"/>
              </w:rPr>
              <w:t>Öğretim programlarında belirlenen ortak hedeflere ulaşılması.</w:t>
            </w:r>
          </w:p>
          <w:p>
            <w:pPr>
              <w:pStyle w:val="para1"/>
              <w:numPr>
                <w:ilvl w:val="0"/>
                <w:numId w:val="13"/>
              </w:numPr>
              <w:ind w:left="720" w:hanging="360"/>
              <w:spacing/>
              <w:jc w:val="both"/>
              <w:rPr>
                <w:rFonts w:ascii="Times New Roman" w:hAnsi="Times New Roman"/>
              </w:rPr>
            </w:pPr>
            <w:r>
              <w:rPr>
                <w:rFonts w:ascii="Times New Roman" w:hAnsi="Times New Roman"/>
              </w:rPr>
              <w:t>Öğrenci başarısının artırılması için alınacak tedbirler.</w:t>
            </w:r>
          </w:p>
          <w:p>
            <w:pPr>
              <w:pStyle w:val="para1"/>
              <w:numPr>
                <w:ilvl w:val="0"/>
                <w:numId w:val="13"/>
              </w:numPr>
              <w:ind w:left="720" w:hanging="360"/>
              <w:spacing/>
              <w:jc w:val="both"/>
              <w:rPr>
                <w:rFonts w:ascii="Times New Roman" w:hAnsi="Times New Roman"/>
              </w:rPr>
            </w:pPr>
            <w:r>
              <w:rPr>
                <w:rFonts w:ascii="Times New Roman" w:hAnsi="Times New Roman"/>
              </w:rPr>
              <w:t>İstenen başarı düzeyine ulaşamayan öğrenciler için alınacak tedbirler</w:t>
            </w:r>
          </w:p>
          <w:p>
            <w:pPr>
              <w:pStyle w:val="para1"/>
              <w:numPr>
                <w:ilvl w:val="0"/>
                <w:numId w:val="13"/>
              </w:numPr>
              <w:ind w:left="720" w:hanging="360"/>
              <w:spacing/>
              <w:jc w:val="both"/>
              <w:rPr>
                <w:rFonts w:ascii="Times New Roman" w:hAnsi="Times New Roman"/>
              </w:rPr>
            </w:pPr>
            <w:r>
              <w:rPr>
                <w:rFonts w:ascii="Times New Roman" w:hAnsi="Times New Roman"/>
              </w:rPr>
              <w:t>Öğrenme kayıplarının telafi edilmesine yönelik yapılacak çalışmalar</w:t>
            </w:r>
          </w:p>
          <w:p>
            <w:pPr>
              <w:pStyle w:val="para1"/>
              <w:numPr>
                <w:ilvl w:val="0"/>
                <w:numId w:val="13"/>
              </w:numPr>
              <w:ind w:left="720" w:hanging="360"/>
              <w:spacing/>
              <w:jc w:val="both"/>
              <w:rPr>
                <w:rFonts w:ascii="Times New Roman" w:hAnsi="Times New Roman"/>
              </w:rPr>
            </w:pPr>
            <w:r>
              <w:rPr>
                <w:rFonts w:ascii="Times New Roman" w:hAnsi="Times New Roman"/>
              </w:rPr>
              <w:t>Bakanlıkça geliştirilen yardımcı kaynak ve ders materyallerinin değerlendirilmesi</w:t>
            </w:r>
          </w:p>
          <w:p>
            <w:pPr>
              <w:pStyle w:val="para1"/>
              <w:numPr>
                <w:ilvl w:val="0"/>
                <w:numId w:val="13"/>
              </w:numPr>
              <w:ind w:left="720" w:hanging="360"/>
              <w:spacing/>
              <w:jc w:val="both"/>
              <w:rPr>
                <w:rFonts w:ascii="Times New Roman" w:hAnsi="Times New Roman"/>
              </w:rPr>
            </w:pPr>
            <w:r>
              <w:rPr>
                <w:rFonts w:ascii="Times New Roman" w:hAnsi="Times New Roman"/>
              </w:rPr>
              <w:t>İl düzeyinde yapılan sınavlar, ortak sınavlar.</w:t>
            </w:r>
          </w:p>
          <w:p>
            <w:pPr>
              <w:pStyle w:val="para1"/>
              <w:numPr>
                <w:ilvl w:val="0"/>
                <w:numId w:val="13"/>
              </w:numPr>
              <w:ind w:left="720" w:hanging="360"/>
              <w:spacing/>
              <w:jc w:val="both"/>
              <w:rPr>
                <w:rFonts w:ascii="Times New Roman" w:hAnsi="Times New Roman"/>
              </w:rPr>
            </w:pPr>
            <w:r>
              <w:rPr>
                <w:rFonts w:ascii="Times New Roman" w:hAnsi="Times New Roman"/>
              </w:rPr>
              <w:t>Zümre ve alanlar arası iş birliği.</w:t>
            </w:r>
          </w:p>
          <w:p>
            <w:pPr>
              <w:pStyle w:val="para1"/>
              <w:numPr>
                <w:ilvl w:val="0"/>
                <w:numId w:val="13"/>
              </w:numPr>
              <w:ind w:left="720" w:hanging="360"/>
              <w:spacing/>
              <w:jc w:val="both"/>
              <w:rPr>
                <w:rFonts w:ascii="Times New Roman" w:hAnsi="Times New Roman"/>
              </w:rPr>
            </w:pPr>
            <w:r>
              <w:rPr>
                <w:rFonts w:ascii="Times New Roman" w:hAnsi="Times New Roman"/>
              </w:rPr>
              <w:t>Eğitim ve öğretimde kalitenin yükseltilmesi.</w:t>
            </w:r>
          </w:p>
          <w:p>
            <w:pPr>
              <w:pStyle w:val="para1"/>
              <w:numPr>
                <w:ilvl w:val="0"/>
                <w:numId w:val="13"/>
              </w:numPr>
              <w:ind w:left="720" w:hanging="360"/>
              <w:spacing/>
              <w:jc w:val="both"/>
              <w:rPr>
                <w:rFonts w:ascii="Times New Roman" w:hAnsi="Times New Roman"/>
              </w:rPr>
            </w:pPr>
            <w:r>
              <w:rPr>
                <w:rFonts w:ascii="Times New Roman" w:hAnsi="Times New Roman"/>
              </w:rPr>
              <w:t>İş sağlığı ve güvenliği. Salgın sürecinin olumsuz etkilerini azaltmaya yönelik alınacak tedbirler</w:t>
            </w:r>
          </w:p>
          <w:p>
            <w:pPr>
              <w:pStyle w:val="para1"/>
              <w:numPr>
                <w:ilvl w:val="0"/>
                <w:numId w:val="13"/>
              </w:numPr>
              <w:ind w:left="720" w:hanging="360"/>
              <w:spacing/>
              <w:jc w:val="both"/>
              <w:rPr>
                <w:rFonts w:ascii="Times New Roman" w:hAnsi="Times New Roman"/>
              </w:rPr>
            </w:pPr>
            <w:r>
              <w:rPr>
                <w:rFonts w:ascii="Times New Roman" w:hAnsi="Times New Roman"/>
              </w:rPr>
              <w:t>Dilek ve temenniler.</w:t>
            </w:r>
          </w:p>
          <w:p>
            <w:pPr>
              <w:pStyle w:val="para1"/>
              <w:numPr>
                <w:ilvl w:val="0"/>
                <w:numId w:val="13"/>
              </w:numPr>
              <w:ind w:left="720" w:hanging="360"/>
              <w:spacing/>
              <w:jc w:val="both"/>
              <w:rPr>
                <w:rFonts w:ascii="Times New Roman" w:hAnsi="Times New Roman"/>
              </w:rPr>
            </w:pPr>
            <w:r>
              <w:rPr>
                <w:rFonts w:ascii="Times New Roman" w:hAnsi="Times New Roman"/>
              </w:rPr>
              <w:t>Kapanış.</w:t>
            </w:r>
          </w:p>
        </w:tc>
      </w:tr>
      <w:tr>
        <w:trPr>
          <w:cantSplit w:val="0"/>
          <w:trHeight w:val="0" w:hRule="auto"/>
        </w:trPr>
        <w:tc>
          <w:tcPr>
            <w:tcW w:w="9628" w:type="dxa"/>
            <w:gridSpan w:val="4"/>
            <w:tmTcPr id="1613763480" protected="0"/>
          </w:tcPr>
          <w:p>
            <w:pPr>
              <w:pStyle w:val="para1"/>
              <w:spacing/>
              <w:jc w:val="both"/>
              <w:rPr>
                <w:rFonts w:ascii="Times New Roman" w:hAnsi="Times New Roman"/>
                <w:b/>
              </w:rPr>
            </w:pPr>
            <w:r>
              <w:rPr>
                <w:rFonts w:ascii="Times New Roman" w:hAnsi="Times New Roman"/>
                <w:b/>
              </w:rPr>
              <w:t>GÜNDEM MADDELERİNİN GÖRÜŞÜLMESİ:</w:t>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Açılış ve yoklama.</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Toplantı yöneticisi Yılmaz KAYA iyi dileklerle toplantıyı açtı. Yoklama yapıldı. Toplantıya 3 Zümre öğretmeni ve 1 il temsilcisinin katıldığı  görüldü.</w:t>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Bir önceki toplantıda alınan kararların incelenmesi.</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Fırat SEVİNDİK; Bir önceki toplantı alınan kararlar incelenip gözden geçirildi</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Birinci dönem zümre kararları okundu. Uygulama sonuçları değerlendirildi.2020-2021 Eğitim –Öğretim yılının Birinci Döneminin başarılı geçtiği karşılaşılan sorunların okul-veli-öğrenci işbirliğiyle içinde giderildiği belirtildi.</w:t>
            </w:r>
          </w:p>
          <w:p>
            <w:pPr>
              <w:pStyle w:val="para1"/>
              <w:spacing/>
              <w:jc w:val="both"/>
              <w:rPr>
                <w:rFonts w:ascii="Times New Roman" w:hAnsi="Times New Roman"/>
              </w:rPr>
            </w:pPr>
            <w:r>
              <w:rPr>
                <w:rFonts w:ascii="Times New Roman" w:hAnsi="Times New Roman"/>
              </w:rPr>
              <w:t xml:space="preserve">   2020-2021Eğitim –Öğretim yılının Birinci Döneminin değerlendirilmesi yapılarak:</w:t>
            </w:r>
          </w:p>
          <w:p>
            <w:pPr>
              <w:pStyle w:val="para1"/>
              <w:numPr>
                <w:ilvl w:val="0"/>
                <w:numId w:val="10"/>
              </w:numPr>
              <w:ind w:left="720" w:hanging="360"/>
              <w:spacing/>
              <w:jc w:val="both"/>
              <w:rPr>
                <w:rFonts w:ascii="Times New Roman" w:hAnsi="Times New Roman"/>
              </w:rPr>
            </w:pPr>
            <w:r>
              <w:rPr>
                <w:rFonts w:ascii="Times New Roman" w:hAnsi="Times New Roman"/>
              </w:rPr>
              <w:t>Programların ve derslerin birbirine paralel yürütüldüğü</w:t>
            </w:r>
          </w:p>
          <w:p>
            <w:pPr>
              <w:pStyle w:val="para1"/>
              <w:numPr>
                <w:ilvl w:val="0"/>
                <w:numId w:val="10"/>
              </w:numPr>
              <w:ind w:left="720" w:hanging="360"/>
              <w:spacing/>
              <w:jc w:val="both"/>
              <w:rPr>
                <w:rFonts w:ascii="Times New Roman" w:hAnsi="Times New Roman"/>
              </w:rPr>
            </w:pPr>
            <w:r>
              <w:rPr>
                <w:rFonts w:ascii="Times New Roman" w:hAnsi="Times New Roman"/>
              </w:rPr>
              <w:t xml:space="preserve">Öğretmen ve öğrenci velileriyle işbirliğine gidildiği </w:t>
            </w:r>
          </w:p>
          <w:p>
            <w:pPr>
              <w:pStyle w:val="para1"/>
              <w:numPr>
                <w:ilvl w:val="0"/>
                <w:numId w:val="10"/>
              </w:numPr>
              <w:ind w:left="720" w:hanging="360"/>
              <w:spacing/>
              <w:jc w:val="both"/>
              <w:rPr>
                <w:rFonts w:ascii="Times New Roman" w:hAnsi="Times New Roman"/>
              </w:rPr>
            </w:pPr>
            <w:r>
              <w:rPr>
                <w:rFonts w:ascii="Times New Roman" w:hAnsi="Times New Roman"/>
              </w:rPr>
              <w:t>Sınıfa göre yetersizliği tespit edilen öğrencilerle ilgili olarak yönetmelik gereği gereken çalışmaların yapıldığı</w:t>
            </w:r>
          </w:p>
          <w:p>
            <w:pPr>
              <w:pStyle w:val="para1"/>
              <w:numPr>
                <w:ilvl w:val="0"/>
                <w:numId w:val="10"/>
              </w:numPr>
              <w:ind w:left="720" w:hanging="360"/>
              <w:spacing/>
              <w:jc w:val="both"/>
              <w:rPr>
                <w:rFonts w:ascii="Times New Roman" w:hAnsi="Times New Roman"/>
              </w:rPr>
            </w:pPr>
            <w:r>
              <w:rPr>
                <w:rFonts w:ascii="Times New Roman" w:hAnsi="Times New Roman"/>
              </w:rPr>
              <w:t>Öğrencilerin sahip olduğu ilgi ve becerilerin yıl boyunca ele alındığı ve farklı zeka alanlarına hitap edildiği</w:t>
            </w:r>
          </w:p>
          <w:p>
            <w:pPr>
              <w:pStyle w:val="para1"/>
              <w:numPr>
                <w:ilvl w:val="0"/>
                <w:numId w:val="10"/>
              </w:numPr>
              <w:ind w:left="720" w:hanging="360"/>
              <w:spacing/>
              <w:jc w:val="both"/>
              <w:rPr>
                <w:rFonts w:ascii="Times New Roman" w:hAnsi="Times New Roman"/>
              </w:rPr>
            </w:pPr>
            <w:r>
              <w:rPr>
                <w:rFonts w:ascii="Times New Roman" w:hAnsi="Times New Roman"/>
              </w:rPr>
              <w:t>Öğrencilere doğrudan bilgi aktarılması yerine onların kendi deneyimlerini yaşayacakları etkinlikler aracılığıyla birtakım becerilerin kazandırılmasına çalışıldığı</w:t>
            </w:r>
          </w:p>
          <w:p>
            <w:pPr>
              <w:pStyle w:val="para1"/>
              <w:numPr>
                <w:ilvl w:val="0"/>
                <w:numId w:val="10"/>
              </w:numPr>
              <w:ind w:left="720" w:hanging="360"/>
              <w:spacing/>
              <w:jc w:val="both"/>
              <w:rPr>
                <w:rFonts w:ascii="Times New Roman" w:hAnsi="Times New Roman"/>
              </w:rPr>
            </w:pPr>
            <w:r>
              <w:rPr>
                <w:rFonts w:ascii="Times New Roman" w:hAnsi="Times New Roman"/>
              </w:rPr>
              <w:t>Derslerin işlenişinde yapılan çeşitli etkinliklerde oyun, grup çalışmaları, tartışmalar, sunumlar, drama ve benzeri çalışmalar yapılarak öğrencilerin derse katılımının sağlandığı</w:t>
            </w:r>
          </w:p>
          <w:p>
            <w:pPr>
              <w:pStyle w:val="para1"/>
              <w:numPr>
                <w:ilvl w:val="0"/>
                <w:numId w:val="10"/>
              </w:numPr>
              <w:ind w:left="720" w:hanging="360"/>
              <w:spacing/>
              <w:jc w:val="both"/>
              <w:rPr>
                <w:rFonts w:ascii="Times New Roman" w:hAnsi="Times New Roman"/>
              </w:rPr>
            </w:pPr>
            <w:r>
              <w:rPr>
                <w:rFonts w:ascii="Times New Roman" w:hAnsi="Times New Roman"/>
              </w:rPr>
              <w:t>Matematik dersinin işlenişinde dört işlem ve problem çözümlerine ağırlık verilerek problem çözme becerilerinin geliştirilmesine çalışıldı.</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İl düzeyinde uygulama birliğinin sağlanması.</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Servet Birol YILDIRIM</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İl düzeyinde uygulama birliğinin sağlanması için zümre öğretmenleri arasında sürekli işbirliği içinde olunduğu ve bu işbirliğinin sürekli devam etmesine karar verildi.</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Öğretim programlarında belirlenen ortak hedeflere ulaşılması.</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Murat ÖZTÜRK</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Öğretim programlarında belirlenen ortak hedeflere ulaşılması için zümre öğretmenleri arasında görüş alışverişi yapıldı. Okullarda sıkıntı yaşanan durumlarda zümre öğretmenlerinin birbirleriyle yardımlaştığı bu durumda eğitim öğretimde işbirliğinin öğrenciler ve öğretmenler açısından yararlı olduğu belirtildi. Ortak hedeflere ulaşabilmek için öğretmenlerin işbirliği içinde çalışmasının yararlı olacağı belirtildi. Zümre öğretmenlerinin telefon internet ortamında koordineli çalışmaları kararı alındı.</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Öğrenci başarısının artırılması için alınacak tedbirler.</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Fırat SEVİNDİK</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Birinci sınıflarda harflerin zamanında verildiği, öğrencilerin okuma yazmaya geçemeyenlerin ise özverili çalışmayla geçeceği bütün eksikliklerin giderilmesi için gerekli çalışmaların yapılması gerektiği belirtildi. Başarısız öğrencilerin velileriyle birebir görüşme yapılıp işbirliği içinde hareket edilmesi gerektiği. Kitap okuma alışkanlığının kazandırılması ve kitap okuma sevgisinin öğrencilere aşılanması. Okul-aile-öğretmen işbirliği içinde tv ,internetin zararlı etkilerinden uzaklaştırmak, EBA TV, çeşitli interaktif eğitim programlarına ulaştırılması ve takibi yararlı olacağına karar verildi.</w:t>
            </w:r>
          </w:p>
          <w:p>
            <w:pPr>
              <w:pStyle w:val="para1"/>
              <w:spacing/>
              <w:jc w:val="both"/>
              <w:rPr>
                <w:rFonts w:ascii="Times New Roman" w:hAnsi="Times New Roman"/>
              </w:rPr>
            </w:pPr>
            <w:r>
              <w:rPr>
                <w:rFonts w:ascii="Times New Roman" w:hAnsi="Times New Roman"/>
              </w:rPr>
            </w:r>
          </w:p>
        </w:tc>
      </w:tr>
      <w:tr>
        <w:trPr>
          <w:cantSplit w:val="0"/>
          <w:trHeight w:val="206" w:hRule="atLeast"/>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İstenen başarı düzeyine ulaşamayan öğrenciler için alınacak tedbirler</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Servet Birol YILDIRIM</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Okul veli işbirliğinin daha da pekiştirilmesine, EBA, Zoom ve çeşitli sunum dosyaları ile başarısız öğrencilerin desteklenmesine, Kaynak kitapların aktif kullanılmasına karar verildi</w:t>
            </w:r>
          </w:p>
          <w:p>
            <w:pPr>
              <w:pStyle w:val="para1"/>
              <w:spacing/>
              <w:jc w:val="both"/>
              <w:rPr>
                <w:rFonts w:ascii="Times New Roman" w:hAnsi="Times New Roman"/>
              </w:rPr>
            </w:pPr>
            <w:r>
              <w:rPr>
                <w:rFonts w:ascii="Times New Roman" w:hAnsi="Times New Roman"/>
              </w:rPr>
            </w:r>
          </w:p>
        </w:tc>
      </w:tr>
      <w:tr>
        <w:trPr>
          <w:cantSplit w:val="0"/>
          <w:trHeight w:val="273" w:hRule="atLeast"/>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Öğrenme kayıplarının telafi edilmesine yönelik yapılacak çalışmalar</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Murat ÖZTÜRK</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Pandemi sürecinde sekteye uğrayan öğrenmelerin, kazanımların Bakanlığın koordinesinde planlanacak olan telafi eğitimleri ile giderilmesine karar verildi.</w:t>
            </w:r>
          </w:p>
          <w:p>
            <w:pPr>
              <w:pStyle w:val="para1"/>
              <w:spacing/>
              <w:jc w:val="both"/>
              <w:rPr>
                <w:rFonts w:ascii="Times New Roman" w:hAnsi="Times New Roman"/>
              </w:rPr>
            </w:pPr>
            <w:r>
              <w:rPr>
                <w:rFonts w:ascii="Times New Roman" w:hAnsi="Times New Roman"/>
              </w:rPr>
            </w:r>
          </w:p>
          <w:p>
            <w:pPr>
              <w:pStyle w:val="para1"/>
              <w:spacing/>
              <w:jc w:val="both"/>
              <w:rPr>
                <w:rFonts w:ascii="Times New Roman" w:hAnsi="Times New Roman"/>
              </w:rPr>
            </w:pPr>
            <w:r>
              <w:rPr>
                <w:rFonts w:ascii="Times New Roman" w:hAnsi="Times New Roman"/>
              </w:rPr>
            </w:r>
          </w:p>
        </w:tc>
      </w:tr>
      <w:tr>
        <w:trPr>
          <w:cantSplit w:val="0"/>
          <w:trHeight w:val="314" w:hRule="atLeast"/>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Bakanlıkça geliştirilen yardımcı kaynak ve ders materyallerinin değerlendirilmesi</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Fırat SEVİNDİK</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Bakanlıkça geliştirilen yardımcı kaynak ve ders materyallerinin</w:t>
            </w:r>
            <w:r>
              <w:rPr>
                <w:rFonts w:ascii="Times New Roman" w:hAnsi="Times New Roman"/>
                <w:b/>
              </w:rPr>
              <w:t xml:space="preserve"> </w:t>
            </w:r>
            <w:r>
              <w:rPr>
                <w:rFonts w:ascii="Times New Roman" w:hAnsi="Times New Roman"/>
              </w:rPr>
              <w:t>çok yerinde ve faydalı olduğu gözlendiği için faydalı olan bu materyallerin mümkün oldukça kullanılmasına karar verildi.</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İl düzeyinde yapılan sınavlar, ortak sınavlar.</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Servet Birol YILDIRIM</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İl düzeyinde yapılan sınavlar,ortak sınavlarda işbirliği içerisinde olmasına karar verildi.</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Zümre ve alanlar arası işbirliği.</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Murat ÖZTÜRK</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Zümre ve alanlar arasında sürekli işbirliği halinde olunmasına karar verildi.</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Eğitim ve öğretimde kalitenin yükseltilmesi.</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Fırat SEVİNDİK</w:t>
            </w:r>
          </w:p>
          <w:p>
            <w:pPr>
              <w:pStyle w:val="para1"/>
              <w:spacing/>
              <w:jc w:val="both"/>
              <w:rPr>
                <w:rFonts w:ascii="Times New Roman" w:hAnsi="Times New Roman"/>
              </w:rPr>
            </w:pPr>
            <w:r>
              <w:rPr>
                <w:rFonts w:ascii="Times New Roman" w:hAnsi="Times New Roman"/>
              </w:rPr>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 Eğitim ve öğretimde Kalitenin yükseltilmesi için öğrencilerin seviyelerine uygun zeka oyunları, drama çalışmaları, okul gezileri interaktif eğitim (eba ve ilgili eğitim siteleri) yapılması. Öğretmenin  kişisel ve mesleki gelişimine katkıda bulunacak faaliyetler içinde bulunmasına karar verildi.</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İş sağlığı ve güvenliği. Salgın sürecinin olumsuz etkilerini azaltmaya yönelik alınacak tedbirler</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Servet Birol YILDIRIM</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İş sağlığı ve güvenliği konusunda ilçe bünyelerinde kurulan isg koordinatörlüğüyle işbirliği içerisinde gereken çalışmaların yapılmasına, okul panolarında temizlik maske, mesafe ile ilgili görsellerimn kullanılmasına, 14 kurala dikkat edilmesine, okulun belirli yerlerine el dezenfektanı konulmasına karar verildi</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Dilek ve temenniler.</w:t>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Madde Hakkında Söz Alanlar: Murat ÖZTÜRK,  Servet Birol YILDIRIM,  Fırat SEVİNDİK</w:t>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tmTcPr id="1613763480" protected="0"/>
          </w:tcPr>
          <w:p>
            <w:pPr>
              <w:pStyle w:val="para1"/>
              <w:spacing/>
              <w:jc w:val="both"/>
              <w:rPr>
                <w:rFonts w:ascii="Times New Roman" w:hAnsi="Times New Roman"/>
              </w:rPr>
            </w:pPr>
            <w:r>
              <w:rPr>
                <w:rFonts w:ascii="Times New Roman" w:hAnsi="Times New Roman"/>
              </w:rPr>
              <w:t>Alınan Karar:  Birleştirilmiş Sınıflı Okullarda Müdür Yetkili Öğretmenin iş yükünün göz önünde bulundurularak eğitim kalitesinin daha da artması için öğrenci sayısı gözetilmeksizin en az iki öğretmen verilmesi.</w:t>
            </w:r>
          </w:p>
          <w:p>
            <w:pPr>
              <w:pStyle w:val="para1"/>
              <w:spacing/>
              <w:jc w:val="both"/>
              <w:rPr>
                <w:rFonts w:ascii="Times New Roman" w:hAnsi="Times New Roman"/>
              </w:rPr>
            </w:pPr>
            <w:r>
              <w:rPr>
                <w:rFonts w:ascii="Times New Roman" w:hAnsi="Times New Roman"/>
              </w:rPr>
              <w:t>Birleştirilmiş Sınıflı Okullarımızın koşullarını iyileştirilmesine yönelik çalışmalarla daha cazip hale getirilerek yerinde eğitimin özendirilmesi. Bu şekilde özellikle birinci sınıfa başlayacak öğrencilerin taşımalı eğitimden doğacak mağduriyetleri önceden giderilmiş olacaktır.</w:t>
            </w:r>
          </w:p>
          <w:p>
            <w:pPr>
              <w:pStyle w:val="para1"/>
              <w:spacing/>
              <w:jc w:val="both"/>
              <w:rPr>
                <w:rFonts w:ascii="Times New Roman" w:hAnsi="Times New Roman"/>
              </w:rPr>
            </w:pPr>
            <w:r>
              <w:rPr>
                <w:rFonts w:ascii="Times New Roman" w:hAnsi="Times New Roman"/>
              </w:rPr>
              <w:t>Müdür Yetkili Öğretmenin ders yükü ve idarecilik yükü, müstakil Okul Müdürünün yükünden daha fazla olmasına ramen;  Ekders konusunda  aradaki farkın giderilmesi gerektiğine karar verildi.</w:t>
            </w:r>
          </w:p>
          <w:p>
            <w:pPr>
              <w:pStyle w:val="para1"/>
              <w:spacing/>
              <w:jc w:val="both"/>
              <w:rPr>
                <w:rFonts w:ascii="Times New Roman" w:hAnsi="Times New Roman"/>
              </w:rPr>
            </w:pPr>
            <w:r>
              <w:rPr>
                <w:rFonts w:ascii="Times New Roman" w:hAnsi="Times New Roman"/>
              </w:rPr>
            </w:r>
          </w:p>
          <w:p>
            <w:pPr>
              <w:pStyle w:val="para1"/>
              <w:spacing/>
              <w:jc w:val="both"/>
              <w:rPr>
                <w:rFonts w:ascii="Times New Roman" w:hAnsi="Times New Roman"/>
              </w:rPr>
            </w:pPr>
            <w:r>
              <w:rPr>
                <w:rFonts w:ascii="Times New Roman" w:hAnsi="Times New Roman"/>
              </w:rPr>
            </w:r>
          </w:p>
        </w:tc>
      </w:tr>
      <w:tr>
        <w:trPr>
          <w:cantSplit w:val="0"/>
          <w:trHeight w:val="0" w:hRule="auto"/>
        </w:trPr>
        <w:tc>
          <w:tcPr>
            <w:tcW w:w="9628" w:type="dxa"/>
            <w:gridSpan w:val="4"/>
            <w:shd w:val="solid" w:color="DBE5F1" tmshd="1677721856, 0, 15853019"/>
            <w:tmTcPr id="1613763480" protected="0"/>
          </w:tcPr>
          <w:p>
            <w:pPr>
              <w:pStyle w:val="para1"/>
              <w:spacing/>
              <w:jc w:val="both"/>
              <w:rPr>
                <w:rFonts w:ascii="Times New Roman" w:hAnsi="Times New Roman"/>
                <w:b/>
                <w:color w:val="0070c0"/>
              </w:rPr>
            </w:pPr>
            <w:r>
              <w:rPr>
                <w:rFonts w:ascii="Times New Roman" w:hAnsi="Times New Roman"/>
                <w:b/>
                <w:color w:val="0070c0"/>
              </w:rPr>
              <w:t>Kapanış.</w:t>
            </w:r>
          </w:p>
        </w:tc>
      </w:tr>
      <w:tr>
        <w:trPr>
          <w:cantSplit w:val="0"/>
          <w:trHeight w:val="811" w:hRule="atLeast"/>
        </w:trPr>
        <w:tc>
          <w:tcPr>
            <w:tcW w:w="9628" w:type="dxa"/>
            <w:gridSpan w:val="4"/>
            <w:tcBorders>
              <w:bottom w:val="single" w:sz="4" w:space="0" w:color="000000" tmln="10, 20, 20, 0, 0"/>
            </w:tcBorders>
            <w:tmTcPr id="1613763480" protected="0"/>
          </w:tcPr>
          <w:p>
            <w:pPr>
              <w:pStyle w:val="para1"/>
              <w:spacing/>
              <w:jc w:val="both"/>
              <w:rPr>
                <w:rFonts w:ascii="Times New Roman" w:hAnsi="Times New Roman"/>
              </w:rPr>
            </w:pPr>
            <w:r>
              <w:rPr>
                <w:rFonts w:ascii="Times New Roman" w:hAnsi="Times New Roman"/>
              </w:rPr>
              <w:t>Toplantı yöneticisi Yılmaz KAYA iyi dileklerle toplantıyı kapattı.</w:t>
            </w:r>
          </w:p>
        </w:tc>
      </w:tr>
      <w:tr>
        <w:trPr>
          <w:cantSplit w:val="0"/>
          <w:trHeight w:val="0" w:hRule="auto"/>
        </w:trPr>
        <w:tc>
          <w:tcPr>
            <w:tcW w:w="9628" w:type="dxa"/>
            <w:gridSpan w:val="4"/>
            <w:tcBorders>
              <w:left w:val="nil" w:sz="0" w:space="0" w:color="000000" tmln="20, 20, 20, 0, 0"/>
              <w:right w:val="nil" w:sz="0" w:space="0" w:color="000000" tmln="20, 20, 20, 0, 0"/>
            </w:tcBorders>
            <w:tmTcPr id="1613763480" protected="0"/>
          </w:tcPr>
          <w:p>
            <w:pPr>
              <w:pStyle w:val="para1"/>
              <w:tabs defTabSz="708">
                <w:tab w:val="left" w:pos="3919" w:leader="none"/>
              </w:tabs>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r>
          </w:p>
          <w:p>
            <w:pPr>
              <w:pStyle w:val="para1"/>
              <w:rPr>
                <w:rFonts w:ascii="Times New Roman" w:hAnsi="Times New Roman"/>
              </w:rPr>
            </w:pPr>
            <w:r>
              <w:rPr>
                <w:rFonts w:ascii="Times New Roman" w:hAnsi="Times New Roman"/>
              </w:rPr>
            </w:r>
          </w:p>
          <w:p>
            <w:pPr>
              <w:pStyle w:val="para1"/>
              <w:rPr>
                <w:rFonts w:ascii="Times New Roman" w:hAnsi="Times New Roman"/>
              </w:rPr>
            </w:pPr>
            <w:r>
              <w:rPr>
                <w:rFonts w:ascii="Times New Roman" w:hAnsi="Times New Roman"/>
              </w:rPr>
            </w:r>
          </w:p>
        </w:tc>
      </w:tr>
      <w:tr>
        <w:trPr>
          <w:cantSplit w:val="0"/>
          <w:trHeight w:val="0" w:hRule="auto"/>
        </w:trPr>
        <w:tc>
          <w:tcPr>
            <w:tcW w:w="4837"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19/02/2021</w:t>
            </w:r>
          </w:p>
        </w:tc>
        <w:tc>
          <w:tcPr>
            <w:tcW w:w="4791"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19/02/2021</w:t>
            </w:r>
          </w:p>
        </w:tc>
      </w:tr>
      <w:tr>
        <w:trPr>
          <w:cantSplit w:val="0"/>
          <w:trHeight w:val="516" w:hRule="atLeast"/>
        </w:trPr>
        <w:tc>
          <w:tcPr>
            <w:tcW w:w="4837"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Recep ÖZCAN</w:t>
            </w:r>
          </w:p>
          <w:p>
            <w:pPr>
              <w:pStyle w:val="para1"/>
              <w:spacing/>
              <w:jc w:val="center"/>
              <w:rPr>
                <w:rFonts w:ascii="Times New Roman" w:hAnsi="Times New Roman"/>
              </w:rPr>
            </w:pPr>
            <w:r>
              <w:rPr>
                <w:rFonts w:ascii="Times New Roman" w:hAnsi="Times New Roman"/>
              </w:rPr>
              <w:t>Toplantı Gözlemcisi</w:t>
            </w:r>
          </w:p>
        </w:tc>
        <w:tc>
          <w:tcPr>
            <w:tcW w:w="4791"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Murat ÖZTÜRK</w:t>
            </w:r>
          </w:p>
          <w:p>
            <w:pPr>
              <w:pStyle w:val="para1"/>
              <w:spacing/>
              <w:jc w:val="center"/>
              <w:rPr>
                <w:rFonts w:ascii="Times New Roman" w:hAnsi="Times New Roman"/>
              </w:rPr>
            </w:pPr>
            <w:r>
              <w:rPr>
                <w:rFonts w:ascii="Times New Roman" w:hAnsi="Times New Roman"/>
              </w:rPr>
              <w:t xml:space="preserve"> İl Zümre Başkanı</w:t>
            </w:r>
          </w:p>
        </w:tc>
      </w:tr>
      <w:tr>
        <w:trPr>
          <w:cantSplit w:val="0"/>
          <w:trHeight w:val="779" w:hRule="atLeast"/>
        </w:trPr>
        <w:tc>
          <w:tcPr>
            <w:tcW w:w="3212"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b/>
              </w:rPr>
            </w:pPr>
            <w:r>
              <w:rPr>
                <w:rFonts w:ascii="Times New Roman" w:hAnsi="Times New Roman"/>
                <w:b/>
              </w:rPr>
              <w:t>Murat ÖZTÜRK</w:t>
            </w:r>
          </w:p>
          <w:p>
            <w:pPr>
              <w:pStyle w:val="para1"/>
              <w:spacing/>
              <w:jc w:val="center"/>
              <w:rPr>
                <w:rFonts w:ascii="Times New Roman" w:hAnsi="Times New Roman"/>
              </w:rPr>
            </w:pPr>
            <w:r>
              <w:rPr>
                <w:rFonts w:ascii="Times New Roman" w:hAnsi="Times New Roman"/>
                <w:b/>
              </w:rPr>
              <w:t>Adalar Zümre Başkanı</w:t>
            </w:r>
            <w:r>
              <w:rPr>
                <w:rFonts w:ascii="Times New Roman" w:hAnsi="Times New Roman"/>
              </w:rPr>
            </w:r>
          </w:p>
        </w:tc>
        <w:tc>
          <w:tcPr>
            <w:tcW w:w="3205"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Arnavutköy Zümre Başkanı</w:t>
            </w:r>
          </w:p>
        </w:tc>
        <w:tc>
          <w:tcPr>
            <w:tcW w:w="3211"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Ataşehir Zümre Başkanı</w:t>
            </w:r>
          </w:p>
        </w:tc>
      </w:tr>
      <w:tr>
        <w:trPr>
          <w:cantSplit w:val="0"/>
          <w:trHeight w:val="779" w:hRule="atLeast"/>
        </w:trPr>
        <w:tc>
          <w:tcPr>
            <w:tcW w:w="3212"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Avcılar Zümre Başkanı</w:t>
            </w:r>
          </w:p>
        </w:tc>
        <w:tc>
          <w:tcPr>
            <w:tcW w:w="3205"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Bağcılar Zümre Başkanı</w:t>
            </w:r>
          </w:p>
        </w:tc>
        <w:tc>
          <w:tcPr>
            <w:tcW w:w="3211"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Bahçelievler Zümre Başkanı</w:t>
            </w:r>
          </w:p>
        </w:tc>
      </w:tr>
      <w:tr>
        <w:trPr>
          <w:cantSplit w:val="0"/>
          <w:trHeight w:val="779" w:hRule="atLeast"/>
        </w:trPr>
        <w:tc>
          <w:tcPr>
            <w:tcW w:w="3212"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Bakırköy Zümre Başkanı</w:t>
            </w:r>
          </w:p>
        </w:tc>
        <w:tc>
          <w:tcPr>
            <w:tcW w:w="3205"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Başakşehir Zümre Başkanı</w:t>
            </w:r>
          </w:p>
        </w:tc>
        <w:tc>
          <w:tcPr>
            <w:tcW w:w="3211"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Bayrampaşa Zümre Başkanı</w:t>
            </w:r>
          </w:p>
        </w:tc>
      </w:tr>
      <w:tr>
        <w:trPr>
          <w:cantSplit w:val="0"/>
          <w:trHeight w:val="779"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Beşiktaş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b/>
              </w:rPr>
            </w:pPr>
            <w:r>
              <w:rPr>
                <w:rFonts w:ascii="Times New Roman" w:hAnsi="Times New Roman"/>
                <w:b/>
              </w:rPr>
              <w:t>Servet Birol YILDIRIM</w:t>
            </w:r>
          </w:p>
          <w:p>
            <w:pPr>
              <w:pStyle w:val="para1"/>
              <w:spacing/>
              <w:jc w:val="center"/>
              <w:rPr>
                <w:rFonts w:ascii="Times New Roman" w:hAnsi="Times New Roman"/>
              </w:rPr>
            </w:pPr>
            <w:r>
              <w:rPr>
                <w:rFonts w:ascii="Times New Roman" w:hAnsi="Times New Roman"/>
                <w:b/>
              </w:rPr>
              <w:t>Beykoz Zümre Başkanı</w:t>
            </w:r>
            <w:r>
              <w:rPr>
                <w:rFonts w:ascii="Times New Roman" w:hAnsi="Times New Roman"/>
              </w:rPr>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Beylikdüzü Zümre Başkanı</w:t>
            </w:r>
          </w:p>
        </w:tc>
      </w:tr>
      <w:tr>
        <w:trPr>
          <w:cantSplit w:val="0"/>
          <w:trHeight w:val="779"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Beyoğlu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Büyükçekmece Zümre Başkanı</w:t>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Çatalca Zümre Başkanı</w:t>
            </w:r>
          </w:p>
        </w:tc>
      </w:tr>
      <w:tr>
        <w:trPr>
          <w:cantSplit w:val="0"/>
          <w:trHeight w:val="779"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Çekmeköy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rPr>
                <w:rFonts w:ascii="Times New Roman" w:hAnsi="Times New Roman"/>
              </w:rPr>
            </w:pPr>
            <w:r>
              <w:rPr>
                <w:rFonts w:ascii="Times New Roman" w:hAnsi="Times New Roman"/>
              </w:rPr>
              <w:t>Esenler Zümre Başkanı</w:t>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Esenyurt Zümre Başkanı</w:t>
            </w:r>
          </w:p>
        </w:tc>
      </w:tr>
      <w:tr>
        <w:trPr>
          <w:cantSplit w:val="0"/>
          <w:trHeight w:val="779"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Eyüp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Fatih Zümre Başkanı</w:t>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Gaziosmanpaşa Zümre Başkanı</w:t>
            </w:r>
          </w:p>
        </w:tc>
      </w:tr>
      <w:tr>
        <w:trPr>
          <w:cantSplit w:val="0"/>
          <w:trHeight w:val="779"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Güngören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Kadıköy Zümre Başkanı</w:t>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Kağıthane Zümre Başkanı</w:t>
            </w:r>
          </w:p>
        </w:tc>
      </w:tr>
      <w:tr>
        <w:trPr>
          <w:cantSplit w:val="0"/>
          <w:trHeight w:val="779" w:hRule="atLeast"/>
        </w:trPr>
        <w:tc>
          <w:tcPr>
            <w:tcW w:w="3212"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Kartal Zümre Başkanı</w:t>
            </w:r>
          </w:p>
        </w:tc>
        <w:tc>
          <w:tcPr>
            <w:tcW w:w="3205"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Küçükçekmece Zümre Başkanı</w:t>
            </w:r>
          </w:p>
        </w:tc>
        <w:tc>
          <w:tcPr>
            <w:tcW w:w="3211" w:type="dxa"/>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Maltepe Zümre Başkanı</w:t>
            </w:r>
          </w:p>
        </w:tc>
      </w:tr>
      <w:tr>
        <w:trPr>
          <w:cantSplit w:val="0"/>
          <w:trHeight w:val="779" w:hRule="atLeast"/>
        </w:trPr>
        <w:tc>
          <w:tcPr>
            <w:tcW w:w="3212" w:type="dxa"/>
            <w:tmTcPr id="1613763480" protected="0"/>
          </w:tcPr>
          <w:p>
            <w:pPr>
              <w:pStyle w:val="para1"/>
              <w:spacing/>
              <w:jc w:val="center"/>
              <w:rPr>
                <w:rFonts w:ascii="Times New Roman" w:hAnsi="Times New Roman"/>
                <w:b/>
              </w:rPr>
            </w:pPr>
            <w:r>
              <w:rPr>
                <w:rFonts w:ascii="Times New Roman" w:hAnsi="Times New Roman"/>
                <w:b/>
              </w:rPr>
            </w:r>
          </w:p>
          <w:p>
            <w:pPr>
              <w:pStyle w:val="para1"/>
              <w:spacing/>
              <w:jc w:val="center"/>
              <w:rPr>
                <w:rFonts w:ascii="Times New Roman" w:hAnsi="Times New Roman"/>
                <w:b/>
              </w:rPr>
            </w:pPr>
            <w:r>
              <w:rPr>
                <w:rFonts w:ascii="Times New Roman" w:hAnsi="Times New Roman"/>
                <w:b/>
              </w:rPr>
              <w:t>Fırat SEVİNDİK</w:t>
            </w:r>
          </w:p>
          <w:p>
            <w:pPr>
              <w:pStyle w:val="para1"/>
              <w:spacing/>
              <w:jc w:val="center"/>
              <w:rPr>
                <w:rFonts w:ascii="Times New Roman" w:hAnsi="Times New Roman"/>
              </w:rPr>
            </w:pPr>
            <w:r>
              <w:rPr>
                <w:rFonts w:ascii="Times New Roman" w:hAnsi="Times New Roman"/>
                <w:b/>
              </w:rPr>
              <w:t>Pendik Zümre Başkanı</w:t>
            </w:r>
            <w:r>
              <w:rPr>
                <w:rFonts w:ascii="Times New Roman" w:hAnsi="Times New Roman"/>
              </w:rPr>
            </w:r>
          </w:p>
        </w:tc>
        <w:tc>
          <w:tcPr>
            <w:tcW w:w="3205" w:type="dxa"/>
            <w:gridSpan w:val="2"/>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 xml:space="preserve">  ………..………………..</w:t>
            </w:r>
          </w:p>
          <w:p>
            <w:pPr>
              <w:pStyle w:val="para1"/>
              <w:tabs defTabSz="708">
                <w:tab w:val="center" w:pos="1521" w:leader="none"/>
              </w:tabs>
              <w:rPr>
                <w:rFonts w:ascii="Times New Roman" w:hAnsi="Times New Roman"/>
              </w:rPr>
            </w:pPr>
            <w:r>
              <w:rPr>
                <w:rFonts w:ascii="Times New Roman" w:hAnsi="Times New Roman"/>
              </w:rPr>
              <w:tab/>
              <w:t>Sancaktepe Zümre Başkanı</w:t>
            </w:r>
          </w:p>
        </w:tc>
        <w:tc>
          <w:tcPr>
            <w:tcW w:w="3211" w:type="dxa"/>
            <w:tmTcPr id="1613763480" protected="0"/>
          </w:tcPr>
          <w:p>
            <w:pPr>
              <w:pStyle w:val="para1"/>
              <w:rPr>
                <w:rFonts w:ascii="Times New Roman" w:hAnsi="Times New Roman"/>
              </w:rPr>
            </w:pPr>
            <w:r>
              <w:rPr>
                <w:rFonts w:ascii="Times New Roman" w:hAnsi="Times New Roman"/>
              </w:rPr>
            </w:r>
          </w:p>
          <w:p>
            <w:pPr>
              <w:pStyle w:val="para1"/>
              <w:rPr>
                <w:rFonts w:ascii="Times New Roman" w:hAnsi="Times New Roman"/>
              </w:rPr>
            </w:pPr>
            <w:r>
              <w:rPr>
                <w:rFonts w:ascii="Times New Roman" w:hAnsi="Times New Roman"/>
              </w:rPr>
              <w:t xml:space="preserve">       ………………………..</w:t>
            </w:r>
          </w:p>
          <w:p>
            <w:pPr>
              <w:pStyle w:val="para1"/>
              <w:spacing/>
              <w:jc w:val="center"/>
              <w:rPr>
                <w:rFonts w:ascii="Times New Roman" w:hAnsi="Times New Roman"/>
              </w:rPr>
            </w:pPr>
            <w:r>
              <w:rPr>
                <w:rFonts w:ascii="Times New Roman" w:hAnsi="Times New Roman"/>
              </w:rPr>
              <w:t>Sarıyer Zümre Başkanı</w:t>
            </w:r>
          </w:p>
        </w:tc>
      </w:tr>
      <w:tr>
        <w:trPr>
          <w:cantSplit w:val="0"/>
          <w:trHeight w:val="779"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Silivri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Sultanbeyli Zümre Başkanı</w:t>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Sultangazi Zümre Başkanı</w:t>
            </w:r>
          </w:p>
        </w:tc>
      </w:tr>
      <w:tr>
        <w:trPr>
          <w:cantSplit w:val="0"/>
          <w:trHeight w:val="779"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Şile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Şişli Zümre Başkanı</w:t>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Tuzla Zümre Başkanı</w:t>
            </w:r>
          </w:p>
        </w:tc>
      </w:tr>
      <w:tr>
        <w:trPr>
          <w:cantSplit w:val="0"/>
          <w:trHeight w:val="516" w:hRule="atLeast"/>
        </w:trPr>
        <w:tc>
          <w:tcPr>
            <w:tcW w:w="3212"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Ümraniye Zümre Başkanı</w:t>
            </w:r>
          </w:p>
        </w:tc>
        <w:tc>
          <w:tcPr>
            <w:tcW w:w="3205" w:type="dxa"/>
            <w:gridSpan w:val="2"/>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Üsküdar Zümre Başkanı</w:t>
            </w:r>
          </w:p>
        </w:tc>
        <w:tc>
          <w:tcPr>
            <w:tcW w:w="3211" w:type="dxa"/>
            <w:tcBorders>
              <w:bottom w:val="single" w:sz="4" w:space="0" w:color="000000" tmln="10, 20, 20, 0, 0"/>
            </w:tcBorders>
            <w:tmTcPr id="1613763480" protected="0"/>
          </w:tcPr>
          <w:p>
            <w:pPr>
              <w:pStyle w:val="para1"/>
              <w:spacing/>
              <w:jc w:val="center"/>
              <w:rPr>
                <w:rFonts w:ascii="Times New Roman" w:hAnsi="Times New Roman"/>
              </w:rPr>
            </w:pPr>
            <w:r>
              <w:rPr>
                <w:rFonts w:ascii="Times New Roman" w:hAnsi="Times New Roman"/>
              </w:rPr>
            </w:r>
          </w:p>
          <w:p>
            <w:pPr>
              <w:pStyle w:val="para1"/>
              <w:spacing/>
              <w:jc w:val="center"/>
              <w:rPr>
                <w:rFonts w:ascii="Times New Roman" w:hAnsi="Times New Roman"/>
              </w:rPr>
            </w:pPr>
            <w:r>
              <w:rPr>
                <w:rFonts w:ascii="Times New Roman" w:hAnsi="Times New Roman"/>
              </w:rPr>
              <w:t>…………………………..</w:t>
            </w:r>
          </w:p>
          <w:p>
            <w:pPr>
              <w:pStyle w:val="para1"/>
              <w:spacing/>
              <w:jc w:val="center"/>
              <w:rPr>
                <w:rFonts w:ascii="Times New Roman" w:hAnsi="Times New Roman"/>
              </w:rPr>
            </w:pPr>
            <w:r>
              <w:rPr>
                <w:rFonts w:ascii="Times New Roman" w:hAnsi="Times New Roman"/>
              </w:rPr>
              <w:t>Zeytinburnu Zümre Başkanı</w:t>
            </w:r>
          </w:p>
        </w:tc>
      </w:tr>
    </w:tbl>
    <w:p>
      <w:pPr>
        <w:pStyle w:val="para1"/>
        <w:rPr>
          <w:rFonts w:ascii="Times New Roman" w:hAnsi="Times New Roman"/>
        </w:rPr>
      </w:pPr>
      <w:r>
        <w:rPr>
          <w:rFonts w:ascii="Times New Roman" w:hAnsi="Times New Roman"/>
        </w:rPr>
      </w:r>
    </w:p>
    <w:p>
      <w:pPr>
        <w:pStyle w:val="para1"/>
        <w:rPr>
          <w:rFonts w:ascii="Times New Roman" w:hAnsi="Times New Roman"/>
          <w:b/>
          <w:color w:val="ff0000"/>
        </w:rPr>
      </w:pPr>
      <w:r>
        <w:rPr>
          <w:noProof/>
        </w:rPr>
        <mc:AlternateContent>
          <mc:Choice Requires="wps">
            <w:drawing>
              <wp:anchor distT="0" distB="0" distL="114300" distR="114300" simplePos="0" relativeHeight="251658245" behindDoc="0" locked="0" layoutInCell="0" hidden="0" allowOverlap="1">
                <wp:simplePos x="0" y="0"/>
                <wp:positionH relativeFrom="column">
                  <wp:posOffset>2395855</wp:posOffset>
                </wp:positionH>
                <wp:positionV relativeFrom="paragraph">
                  <wp:posOffset>1732280</wp:posOffset>
                </wp:positionV>
                <wp:extent cx="1276350" cy="304800"/>
                <wp:effectExtent l="9525" t="9525" r="9525" b="9525"/>
                <wp:wrapNone/>
                <wp:docPr id="5" name="Dikdörtgen1"/>
                <wp:cNvGraphicFramePr/>
                <a:graphic xmlns:a="http://schemas.openxmlformats.org/drawingml/2006/main">
                  <a:graphicData uri="http://schemas.microsoft.com/office/word/2010/wordprocessingShape">
                    <wps:wsp>
                      <wps:cNvSpPr>
                        <a:extLst>
                          <a:ext uri="smNativeData">
                            <sm:smNativeData xmlns:sm="smNativeData" val="SMDATA_12_mBMwYBMAAAAlAAAAZAAAAA0AAAAAkAAAAEgAAACQAAAASAAAAAAAAAAAAAAAAAAAAAEAAABQAAAAAAAAAAAA4D8AAAAAAADgPwAAAAAAAOA/AAAAAAAA4D8AAAAAAADgPwAAAAAAAOA/AAAAAAAA4D8AAAAAAADgPwAAAAAAAOA/AAAAAAAA4D8CAAAAjAAAAAEAAAAAAAAAAAD/AAAAAAAAAAAAAAAAAAAAAAAAAAAAAAAAAAAAAAAAAAAAeAAAAAEAAABAAAAAAAAAAAAAAABaAAAAAAAAAAAAAAAAAAAAAAAAAAAAAAAAAAAAAAAAAAAAAAAAAAAAAAAAAAAAAAAAAAAAAAAAAAAAAAAAAAAAAAAAAAAAAAAAAAAAFAAAADwAAAABAAAAAAAAAAAA/w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QAAAACgAAAAAAAAAAAAAAAAAAACAAAAvQ4AAAAAAAACAAAAqAoAANoHAADgAQAAAAAAACsTAACuRgAAKAAAAAgAAAABAAAAAQAAAA=="/>
                          </a:ext>
                        </a:extLst>
                      </wps:cNvSpPr>
                      <wps:spPr>
                        <a:xfrm>
                          <a:off x="0" y="0"/>
                          <a:ext cx="1276350" cy="304800"/>
                        </a:xfrm>
                        <a:prstGeom prst="rect">
                          <a:avLst/>
                        </a:prstGeom>
                        <a:solidFill>
                          <a:srgbClr val="0000FF"/>
                        </a:solidFill>
                        <a:ln w="9525">
                          <a:solidFill>
                            <a:srgbClr val="0000FF"/>
                          </a:solidFill>
                        </a:ln>
                      </wps:spPr>
                      <wps:txbx>
                        <w:txbxContent>
                          <w:p>
                            <w:pPr>
                              <w:spacing/>
                              <w:jc w:val="center"/>
                              <w:rPr>
                                <w:rFonts w:ascii="Comic Sans MS" w:hAnsi="Comic Sans MS"/>
                                <w:b/>
                                <w:color w:val="ffff00"/>
                                <w:sz w:val="20"/>
                                <w:szCs w:val="20"/>
                              </w:rPr>
                            </w:pPr>
                            <w:r>
                              <w:rPr>
                                <w:rFonts w:ascii="Comic Sans MS" w:hAnsi="Comic Sans MS"/>
                                <w:b/>
                                <w:color w:val="ffff00"/>
                                <w:sz w:val="20"/>
                                <w:szCs w:val="20"/>
                              </w:rPr>
                              <w:t>Egitimhane.com</w:t>
                            </w:r>
                          </w:p>
                        </w:txbxContent>
                      </wps:txbx>
                      <wps:bodyPr spcFirstLastPara="1" vertOverflow="clip" horzOverflow="clip" lIns="91440" tIns="45720" rIns="91440" bIns="45720" upright="1">
                        <a:prstTxWarp prst="textNoShape">
                          <a:avLst/>
                        </a:prstTxWarp>
                        <a:noAutofit/>
                      </wps:bodyPr>
                    </wps:wsp>
                  </a:graphicData>
                </a:graphic>
              </wp:anchor>
            </w:drawing>
          </mc:Choice>
          <mc:Fallback>
            <w:pict>
              <v:rect id="Dikdörtgen1" o:spid="_x0000_s1026" style="position:absolute;margin-left:188.65pt;margin-top:136.40pt;width:100.50pt;height:24.00pt;z-index:251658245;mso-wrap-distance-left:9.00pt;mso-wrap-distance-top:0.00pt;mso-wrap-distance-right:9.00pt;mso-wrap-distance-bottom:0.00pt;mso-wrap-style:square" strokeweight="0.75pt" strokecolor="#0000ff" fillcolor="#0000ff" v:ext="SMDATA_12_mBMwYBMAAAAlAAAAZAAAAA0AAAAAkAAAAEgAAACQAAAASAAAAAAAAAAAAAAAAAAAAAEAAABQAAAAAAAAAAAA4D8AAAAAAADgPwAAAAAAAOA/AAAAAAAA4D8AAAAAAADgPwAAAAAAAOA/AAAAAAAA4D8AAAAAAADgPwAAAAAAAOA/AAAAAAAA4D8CAAAAjAAAAAEAAAAAAAAAAAD/AAAAAAAAAAAAAAAAAAAAAAAAAAAAAAAAAAAAAAAAAAAAeAAAAAEAAABAAAAAAAAAAAAAAABaAAAAAAAAAAAAAAAAAAAAAAAAAAAAAAAAAAAAAAAAAAAAAAAAAAAAAAAAAAAAAAAAAAAAAAAAAAAAAAAAAAAAAAAAAAAAAAAAAAAAFAAAADwAAAABAAAAAAAAAAAA/w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QAAAACgAAAAAAAAAAAAAAAAAAACAAAAvQ4AAAAAAAACAAAAqAoAANoHAADgAQAAAAAAACsTAACuRgAAKAAAAAgAAAABAAAAAQAAAA==" o:insetmode="custom">
                <v:fill color2="#000000" type="solid" angle="180"/>
                <w10:wrap type="none" anchorx="text" anchory="text"/>
                <v:textbox inset="7.2pt,3.6pt,7.2pt,3.6pt">
                  <w:txbxContent>
                    <w:p>
                      <w:pPr>
                        <w:spacing/>
                        <w:jc w:val="center"/>
                        <w:rPr>
                          <w:rFonts w:ascii="Comic Sans MS" w:hAnsi="Comic Sans MS"/>
                          <w:b/>
                          <w:color w:val="ffff00"/>
                          <w:sz w:val="20"/>
                          <w:szCs w:val="20"/>
                        </w:rPr>
                      </w:pPr>
                      <w:r>
                        <w:rPr>
                          <w:rFonts w:ascii="Comic Sans MS" w:hAnsi="Comic Sans MS"/>
                          <w:b/>
                          <w:color w:val="ffff00"/>
                          <w:sz w:val="20"/>
                          <w:szCs w:val="20"/>
                        </w:rPr>
                        <w:t>Egitimhane.com</w:t>
                      </w:r>
                    </w:p>
                  </w:txbxContent>
                </v:textbox>
              </v:rect>
            </w:pict>
          </mc:Fallback>
        </mc:AlternateContent>
      </w:r>
      <w:r>
        <w:rPr>
          <w:rFonts w:ascii="Times New Roman" w:hAnsi="Times New Roman"/>
          <w:b/>
          <w:color w:val="ff0000"/>
        </w:rPr>
      </w:r>
    </w:p>
    <w:p>
      <w:pPr>
        <w:pageBreakBefore/>
      </w:pPr>
      <w:r>
        <mc:AlternateContent>
          <mc:Choice Requires="wps">
            <w:drawing>
              <wp:anchor distT="0" distB="0" distL="89535" distR="89535" simplePos="0" relativeHeight="251658243" behindDoc="0" locked="0" layoutInCell="0" hidden="0" allowOverlap="1">
                <wp:simplePos x="0" y="0"/>
                <wp:positionH relativeFrom="page">
                  <wp:posOffset>651510</wp:posOffset>
                </wp:positionH>
                <wp:positionV relativeFrom="margin">
                  <wp:posOffset>0</wp:posOffset>
                </wp:positionV>
                <wp:extent cx="6146165" cy="7959090"/>
                <wp:effectExtent l="0" t="0" r="0" b="0"/>
                <wp:wrapSquare wrapText="bothSides"/>
                <wp:docPr id="3" name="MetinKutusu2"/>
                <wp:cNvGraphicFramePr/>
                <a:graphic xmlns:a="http://schemas.openxmlformats.org/drawingml/2006/main">
                  <a:graphicData uri="http://schemas.microsoft.com/office/word/2010/wordprocessingShape">
                    <wps:wsp>
                      <wps:cNvSpPr txBox="1">
                        <a:extLst>
                          <a:ext uri="smNativeData">
                            <sm:smNativeData xmlns:sm="smNativeData" val="SMDATA_12_mBMwYBMAAAAlAAAAEgAAAI0AAAAAAAAAAAAAAAALAAAACw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QAAAECCAAAAAAAAAAAAAAAAAAAAAAAAAgQAAAAAAAABAAAAAAAAAM8lAAD2MAAAAQAAAJYDAACJCwAAKAAAAAgAAAACAAAAAQAAAA=="/>
                          </a:ext>
                        </a:extLst>
                      </wps:cNvSpPr>
                      <wps:spPr>
                        <a:xfrm>
                          <a:off x="0" y="0"/>
                          <a:ext cx="6146165" cy="7959090"/>
                        </a:xfrm>
                        <a:prstGeom prst="rect">
                          <a:avLst/>
                        </a:prstGeom>
                        <a:noFill/>
                        <a:ln w="12700">
                          <a:noFill/>
                        </a:ln>
                      </wps:spPr>
                      <wps:linkedTxbx id="1" seq="1"/>
                      <wps:bodyPr spcFirstLastPara="1" vertOverflow="clip" horzOverflow="clip" wrap="none" lIns="0" tIns="0" rIns="6985" bIns="6985" upright="1">
                        <a:noAutofit/>
                      </wps:bodyPr>
                    </wps:wsp>
                  </a:graphicData>
                </a:graphic>
              </wp:anchor>
            </w:drawing>
          </mc:Choice>
          <mc:Fallback>
            <w:pict>
              <v:shapetype id="_x0000_t202" coordsize="21600,21600" o:spt="202" path="m,l,21600r21600,l21600,xe">
                <v:path gradientshapeok="t" o:connecttype="rect"/>
              </v:shapetype>
              <v:shape id="MetinKutusu2" o:spid="_x0000_s1027" type="#_x0000_t202" style="position:absolute;margin-left:51.30pt;margin-top:0.00pt;mso-position-horizontal-relative:page;mso-position-vertical-relative:margin;width:483.95pt;height:626.70pt;z-index:251658243;mso-wrap-distance-left:7.05pt;mso-wrap-distance-top:0.00pt;mso-wrap-distance-right:7.05pt;mso-wrap-distance-bottom:0.00pt;mso-wrap-style:none" o:allowincell="f" stroked="f" filled="f" v:ext="SMDATA_12_mBMwYBMAAAAlAAAAEgAAAI0AAAAAAAAAAAAAAAALAAAACw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QAAAECCAAAAAAAAAAAAAAAAAAAAAAAAAgQAAAAAAAABAAAAAAAAAM8lAAD2MAAAAQAAAJYDAACJCwAAKAAAAAgAAAACAAAAAQAAAA==" o:insetmode="custom">
                <w10:wrap type="square" anchorx="page" anchory="margin"/>
                <v:textbox inset="0.0pt,0.0pt,0.6pt,0.6pt" style="mso-next-textbox:#MetinKutusu3">
                  <w:txbxContent/>
                </v:textbox>
              </v:shape>
            </w:pict>
          </mc:Fallback>
        </mc:AlternateContent>
      </w:r>
    </w:p>
    <w:p>
      <w:pPr>
        <w:pageBreakBefore/>
      </w:pPr>
      <w:r>
        <mc:AlternateContent>
          <mc:Choice Requires="wps">
            <w:drawing>
              <wp:anchor distT="0" distB="0" distL="89535" distR="89535" simplePos="0" relativeHeight="251658242" behindDoc="0" locked="0" layoutInCell="0" hidden="0" allowOverlap="1">
                <wp:simplePos x="0" y="0"/>
                <wp:positionH relativeFrom="page">
                  <wp:posOffset>651510</wp:posOffset>
                </wp:positionH>
                <wp:positionV relativeFrom="margin">
                  <wp:posOffset>0</wp:posOffset>
                </wp:positionV>
                <wp:extent cx="6146165" cy="7956550"/>
                <wp:effectExtent l="0" t="0" r="0" b="0"/>
                <wp:wrapSquare wrapText="bothSides"/>
                <wp:docPr id="2" name="MetinKutusu3"/>
                <wp:cNvGraphicFramePr/>
                <a:graphic xmlns:a="http://schemas.openxmlformats.org/drawingml/2006/main">
                  <a:graphicData uri="http://schemas.microsoft.com/office/word/2010/wordprocessingShape">
                    <wps:wsp>
                      <wps:cNvSpPr txBox="1">
                        <a:extLst>
                          <a:ext uri="smNativeData">
                            <sm:smNativeData xmlns:sm="smNativeData" val="SMDATA_12_mBMwYBMAAAAlAAAAEgAAAI0AAAAAAAAAAAAAAAALAAAACw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gAAAECCAAAAAAAAAAAAAAAAAAAAAAAAAgQAAAAAAAABAAAAAAAAAM8lAADyMAAAAgAAAJYDAACJCwAAKAAAAAgAAAACAAAAAQAAAA=="/>
                          </a:ext>
                        </a:extLst>
                      </wps:cNvSpPr>
                      <wps:spPr>
                        <a:xfrm>
                          <a:off x="0" y="0"/>
                          <a:ext cx="6146165" cy="7956550"/>
                        </a:xfrm>
                        <a:prstGeom prst="rect">
                          <a:avLst/>
                        </a:prstGeom>
                        <a:noFill/>
                        <a:ln w="12700">
                          <a:noFill/>
                        </a:ln>
                      </wps:spPr>
                      <wps:linkedTxbx id="1" seq="2"/>
                      <wps:bodyPr spcFirstLastPara="1" vertOverflow="clip" horzOverflow="clip" wrap="none" lIns="0" tIns="0" rIns="6985" bIns="6985" upright="1">
                        <a:noAutofit/>
                      </wps:bodyPr>
                    </wps:wsp>
                  </a:graphicData>
                </a:graphic>
              </wp:anchor>
            </w:drawing>
          </mc:Choice>
          <mc:Fallback>
            <w:pict>
              <v:shape id="MetinKutusu3" o:spid="_x0000_s1028" type="#_x0000_t202" style="position:absolute;margin-left:51.30pt;margin-top:0.00pt;mso-position-horizontal-relative:page;mso-position-vertical-relative:margin;width:483.95pt;height:626.50pt;z-index:251658242;mso-wrap-distance-left:7.05pt;mso-wrap-distance-top:0.00pt;mso-wrap-distance-right:7.05pt;mso-wrap-distance-bottom:0.00pt;mso-wrap-style:none" o:allowincell="f" stroked="f" filled="f" v:ext="SMDATA_12_mBMwYBMAAAAlAAAAEgAAAI0AAAAAAAAAAAAAAAALAAAACw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gAAAECCAAAAAAAAAAAAAAAAAAAAAAAAAgQAAAAAAAABAAAAAAAAAM8lAADyMAAAAgAAAJYDAACJCwAAKAAAAAgAAAACAAAAAQAAAA==" o:insetmode="custom">
                <w10:wrap type="square" anchorx="page" anchory="margin"/>
                <v:textbox inset="0.0pt,0.0pt,0.6pt,0.6pt" style="mso-next-textbox:#MetinKutusu4">
                  <w:txbxContent/>
                </v:textbox>
              </v:shape>
            </w:pict>
          </mc:Fallback>
        </mc:AlternateContent>
      </w:r>
    </w:p>
    <w:p>
      <w:pPr>
        <w:pageBreakBefore/>
      </w:pPr>
      <w:r>
        <mc:AlternateContent>
          <mc:Choice Requires="wps">
            <w:drawing>
              <wp:anchor distT="0" distB="0" distL="89535" distR="89535" simplePos="0" relativeHeight="251658241" behindDoc="0" locked="0" layoutInCell="0" hidden="0" allowOverlap="1">
                <wp:simplePos x="0" y="0"/>
                <wp:positionH relativeFrom="page">
                  <wp:posOffset>651510</wp:posOffset>
                </wp:positionH>
                <wp:positionV relativeFrom="margin">
                  <wp:posOffset>0</wp:posOffset>
                </wp:positionV>
                <wp:extent cx="6146165" cy="5968365"/>
                <wp:effectExtent l="0" t="0" r="0" b="0"/>
                <wp:wrapSquare wrapText="bothSides"/>
                <wp:docPr id="1" name="MetinKutusu4"/>
                <wp:cNvGraphicFramePr/>
                <a:graphic xmlns:a="http://schemas.openxmlformats.org/drawingml/2006/main">
                  <a:graphicData uri="http://schemas.microsoft.com/office/word/2010/wordprocessingShape">
                    <wps:wsp>
                      <wps:cNvSpPr txBox="1">
                        <a:extLst>
                          <a:ext uri="smNativeData">
                            <sm:smNativeData xmlns:sm="smNativeData" val="SMDATA_12_mBMwYBMAAAAlAAAAEgAAAI0AAAAAAAAAAAAAAAALAAAACw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wAAAEiCAAAAAAAAAAAAAAAAAAAAAAAAAgQAAAAAAAABAAAAAAAAAM8lAAC3JAAAAwAAAJYDAACJCwAAKAAAAAgAAAACAAAAAQAAAA=="/>
                          </a:ext>
                        </a:extLst>
                      </wps:cNvSpPr>
                      <wps:spPr>
                        <a:xfrm>
                          <a:off x="0" y="0"/>
                          <a:ext cx="6146165" cy="5968365"/>
                        </a:xfrm>
                        <a:prstGeom prst="rect">
                          <a:avLst/>
                        </a:prstGeom>
                        <a:noFill/>
                        <a:ln w="12700">
                          <a:noFill/>
                        </a:ln>
                      </wps:spPr>
                      <wps:linkedTxbx id="1" seq="3"/>
                      <wps:bodyPr spcFirstLastPara="1" vertOverflow="clip" horzOverflow="clip" wrap="none" lIns="0" tIns="0" rIns="6985" bIns="6985" upright="1">
                        <a:noAutofit/>
                      </wps:bodyPr>
                    </wps:wsp>
                  </a:graphicData>
                </a:graphic>
              </wp:anchor>
            </w:drawing>
          </mc:Choice>
          <mc:Fallback>
            <w:pict>
              <v:shape id="MetinKutusu4" o:spid="_x0000_s1029" type="#_x0000_t202" style="position:absolute;margin-left:51.30pt;margin-top:0.00pt;mso-position-horizontal-relative:page;mso-position-vertical-relative:margin;width:483.95pt;height:469.95pt;z-index:251658241;mso-wrap-distance-left:7.05pt;mso-wrap-distance-top:0.00pt;mso-wrap-distance-right:7.05pt;mso-wrap-distance-bottom:0.00pt;mso-wrap-style:none" o:allowincell="f" stroked="f" filled="f" v:ext="SMDATA_12_mBMwYBMAAAAlAAAAEgAAAI0AAAAAAAAAAAAAAAALAAAACw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wAAAEiCAAAAAAAAAAAAAAAAAAAAAAAAAgQAAAAAAAABAAAAAAAAAM8lAAC3JAAAAwAAAJYDAACJCwAAKAAAAAgAAAACAAAAAQAAAA==" o:insetmode="custom">
                <w10:wrap type="square" anchorx="page" anchory="margin"/>
                <v:textbox inset="0.0pt,0.0pt,0.6pt,0.6pt">
                  <w:txbxContent/>
                </v:textbox>
              </v:shape>
            </w:pict>
          </mc:Fallback>
        </mc:AlternateContent>
      </w:r>
    </w:p>
    <w:sectPr>
      <w:footnotePr>
        <w:pos w:val="pageBottom"/>
        <w:numFmt w:val="decimal"/>
        <w:numStart w:val="1"/>
        <w:numRestart w:val="continuous"/>
      </w:footnotePr>
      <w:endnotePr>
        <w:pos w:val="docEnd"/>
        <w:numFmt w:val="decimal"/>
        <w:numStart w:val="1"/>
        <w:numRestart w:val="continuous"/>
      </w:endnotePr>
      <w:headerReference w:type="default" r:id="rId8"/>
      <w:footerReference w:type="default" r:id="rId9"/>
      <w:type w:val="nextPage"/>
      <w:pgSz w:h="16838" w:w="11906"/>
      <w:pgMar w:left="1134" w:top="1134" w:right="1134" w:bottom="1134" w:header="1134" w:footer="567"/>
      <w:paperSrc w:first="0" w:other="0" a="0" b="0"/>
      <w:pgNumType w:fmt="decimal"/>
      <w:tmGutter w:val="3"/>
      <w:mirrorMargins w:val="0"/>
      <w:tmSection w:h="-2">
        <w:tmHeader w:id="0" w:h="0" edge="1134" text="0">
          <w:shd w:val="none"/>
        </w:tmHeader>
        <w:tmFooter w:id="0" w:h="0" edge="567"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Calibri">
    <w:panose1 w:val="020F0502020204030204"/>
    <w:charset w:val="a2"/>
    <w:family w:val="swiss"/>
    <w:pitch w:val="default"/>
  </w:font>
  <w:font w:name="Tahoma">
    <w:panose1 w:val="020B0604030504040204"/>
    <w:charset w:val="00"/>
    <w:family w:val="swiss"/>
    <w:pitch w:val="default"/>
  </w:font>
  <w:font w:name="Comic Sans MS">
    <w:panose1 w:val="030F0702030302020204"/>
    <w:charset w:val="a2"/>
    <w:family w:val="script"/>
    <w:pitch w:val="default"/>
  </w:font>
  <w:font w:name="Cambria">
    <w:panose1 w:val="02040503050406030204"/>
    <w:charset w:val="a2"/>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3"/>
      <w:spacing/>
      <w:jc w:val="center"/>
      <w:rPr>
        <w:rFonts w:ascii="Times New Roman" w:hAnsi="Times New Roman"/>
      </w:rPr>
    </w:pPr>
    <w:r>
      <w:rPr>
        <w:rFonts w:ascii="Times New Roman" w:hAnsi="Times New Roman"/>
        <w:b/>
      </w:rPr>
    </w:r>
    <w:r>
      <w:rPr>
        <w:rFonts w:ascii="Times New Roman" w:hAnsi="Times New Roman"/>
        <w:b/>
      </w:rPr>
      <w:fldChar w:fldCharType="begin"/>
      <w:instrText xml:space="preserve"> PAGE </w:instrText>
      <w:fldChar w:fldCharType="separate"/>
      <w:t>1</w:t>
      <w:fldChar w:fldCharType="end"/>
    </w:r>
    <w:r>
      <w:rPr>
        <w:rFonts w:ascii="Times New Roman" w:hAnsi="Times New Roman"/>
      </w:rPr>
      <w:t xml:space="preserve"> / </w:t>
    </w:r>
    <w:r>
      <w:rPr>
        <w:rFonts w:ascii="Times New Roman" w:hAnsi="Times New Roman"/>
        <w:b/>
      </w:rPr>
    </w:r>
    <w:r>
      <w:rPr>
        <w:rFonts w:ascii="Times New Roman" w:hAnsi="Times New Roman"/>
        <w:b/>
      </w:rPr>
      <w:fldChar w:fldCharType="begin"/>
      <w:instrText xml:space="preserve"> NUMPAGES </w:instrText>
      <w:fldChar w:fldCharType="separate"/>
      <w:t>4</w:t>
      <w:fldChar w:fldCharType="end"/>
    </w:r>
    <w:r>
      <w:rPr>
        <w:rFonts w:ascii="Times New Roman" w:hAnsi="Times New Roman"/>
      </w:r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1"/>
      <w:spacing/>
      <w:jc w:val="center"/>
      <w:rPr>
        <w:rFonts w:ascii="Times New Roman" w:hAnsi="Times New Roman"/>
      </w:rPr>
    </w:pPr>
    <w:r>
      <w:rPr>
        <w:rFonts w:ascii="Times New Roman" w:hAnsi="Times New Roman"/>
      </w:rPr>
      <w:t>İSTANBUL İL MİLLÎ EĞİTİM MÜDÜRLÜĞÜ</w:t>
    </w:r>
  </w:p>
  <w:p>
    <w:pPr>
      <w:pStyle w:val="para1"/>
      <w:spacing/>
      <w:jc w:val="center"/>
      <w:rPr>
        <w:rFonts w:ascii="Times New Roman" w:hAnsi="Times New Roman"/>
      </w:rPr>
    </w:pPr>
    <w:r>
      <w:rPr>
        <w:rFonts w:ascii="Times New Roman" w:hAnsi="Times New Roman"/>
      </w:rPr>
      <w:t>2020-2021 EĞİTİM VE ÖĞRETİM YILI</w:t>
    </w:r>
  </w:p>
  <w:p>
    <w:pPr>
      <w:pStyle w:val="para1"/>
      <w:spacing/>
      <w:jc w:val="center"/>
      <w:rPr>
        <w:rFonts w:ascii="Times New Roman" w:hAnsi="Times New Roman"/>
      </w:rPr>
    </w:pPr>
    <w:r>
      <w:rPr>
        <w:rFonts w:ascii="Times New Roman" w:hAnsi="Times New Roman"/>
      </w:rPr>
      <w:t xml:space="preserve">BİRLEŞTİRİLMİŞ SINIFLAR </w:t>
    </w:r>
    <w:r>
      <w:rPr>
        <w:rFonts w:ascii="Times New Roman" w:hAnsi="Times New Roman"/>
        <w:b/>
        <w:color w:val="ff0000"/>
        <w:u w:color="auto" w:val="single"/>
      </w:rPr>
      <w:t>İKİNCİ DÖNEM BAŞI</w:t>
    </w:r>
    <w:r>
      <w:rPr>
        <w:rFonts w:ascii="Times New Roman" w:hAnsi="Times New Roman"/>
      </w:rPr>
      <w:t xml:space="preserve"> İL ZÜMRE TOPLANTISI TUTANAĞIDIR</w:t>
    </w:r>
  </w:p>
  <w:p>
    <w:pPr>
      <w:pStyle w:val="para2"/>
    </w:pPr>
    <w:r/>
  </w:p>
  <w:p>
    <w:pPr>
      <w:pStyle w:val="para2"/>
    </w:pPr>
    <w:r/>
  </w:p>
  <w:p>
    <w:pPr>
      <w:pStyle w:val="para1"/>
      <w:rPr>
        <w:rFonts w:ascii="Times New Roman" w:hAnsi="Times New Roman"/>
        <w:b/>
        <w:color w:val="ff0000"/>
      </w:rPr>
    </w:pPr>
    <w:r>
      <w:rPr>
        <w:rFonts w:ascii="Times New Roman" w:hAnsi="Times New Roman"/>
        <w:b/>
        <w:color w:val="ff0000"/>
      </w:rPr>
    </w:r>
  </w:p>
  <w:p>
    <w:pPr>
      <w:pStyle w:val="para2"/>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aralandırılmış liste 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
    <w:multiLevelType w:val="hybridMultilevel"/>
    <w:name w:val="Numaralandırılmış liste 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
    <w:multiLevelType w:val="hybridMultilevel"/>
    <w:name w:val="Numaralandırılmış liste 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4">
    <w:multiLevelType w:val="hybridMultilevel"/>
    <w:name w:val="Numaralandırılmış liste 4"/>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5">
    <w:multiLevelType w:val="hybridMultilevel"/>
    <w:name w:val="Numaralandırılmış liste 5"/>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6">
    <w:multiLevelType w:val="hybridMultilevel"/>
    <w:name w:val="Numaralandırılmış liste 6"/>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7">
    <w:multiLevelType w:val="hybridMultilevel"/>
    <w:name w:val="Numaralandırılmış liste 7"/>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8">
    <w:multiLevelType w:val="hybridMultilevel"/>
    <w:name w:val="Numaralandırılmış liste 8"/>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9">
    <w:multiLevelType w:val="hybridMultilevel"/>
    <w:name w:val="Numaralandırılmış liste 9"/>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0">
    <w:multiLevelType w:val="hybridMultilevel"/>
    <w:name w:val="Numaralandırılmış liste 10"/>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1">
    <w:multiLevelType w:val="hybridMultilevel"/>
    <w:name w:val="Numaralandırılmış liste 1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2">
    <w:multiLevelType w:val="hybridMultilevel"/>
    <w:name w:val="Numaralandırılmış liste 1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3">
    <w:multiLevelType w:val="hybridMultilevel"/>
    <w:name w:val="Numaralandırılmış liste 1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4">
    <w:multiLevelType w:val="hybridMultilevel"/>
    <w:name w:val="Numaralandırılmış liste 14"/>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0"/>
  <w:doNotShadeFormData w:val="0"/>
  <w:captions>
    <w:caption w:name="Tablo" w:pos="below" w:numFmt="decimal"/>
    <w:caption w:name="Şekil" w:pos="below" w:numFmt="decimal"/>
    <w:caption w:name="Resim"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3073"/>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21"/>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0"/>
      <w:tmLastPosIdx w:val="0"/>
    </w:tmLastPosCaret>
    <w:tmLastPosAnchor>
      <w:tmLastPosPgfIdx w:val="0"/>
      <w:tmLastPosIdx w:val="0"/>
    </w:tmLastPosAnchor>
    <w:tmLastPosTblRect w:left="0" w:top="0" w:right="0" w:bottom="0"/>
  </w:tmLastPos>
  <w:tmAppRevision w:date="1613763480"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No Spacing"/>
    <w:qFormat/>
    <w:pPr>
      <w:spacing w:after="0" w:line="240" w:lineRule="auto"/>
    </w:pPr>
    <w:rPr>
      <w:rFonts w:ascii="Calibri" w:hAnsi="Calibri" w:eastAsia="Calibri"/>
      <w:sz w:val="22"/>
      <w:szCs w:val="22"/>
      <w:lang w:val="tr-tr" w:bidi="ar-sa"/>
    </w:rPr>
  </w:style>
  <w:style w:type="paragraph" w:styleId="para2">
    <w:name w:val="Header"/>
    <w:qFormat/>
    <w:basedOn w:val="para0"/>
    <w:pPr>
      <w:spacing w:after="0" w:line="240" w:lineRule="auto"/>
      <w:tabs defTabSz="708">
        <w:tab w:val="center" w:pos="4536" w:leader="none"/>
        <w:tab w:val="right" w:pos="9072" w:leader="none"/>
      </w:tabs>
    </w:pPr>
  </w:style>
  <w:style w:type="paragraph" w:styleId="para3">
    <w:name w:val="Footer"/>
    <w:qFormat/>
    <w:basedOn w:val="para0"/>
    <w:pPr>
      <w:spacing w:after="0" w:line="240" w:lineRule="auto"/>
      <w:tabs defTabSz="708">
        <w:tab w:val="center" w:pos="4536" w:leader="none"/>
        <w:tab w:val="right" w:pos="9072" w:leader="none"/>
      </w:tabs>
    </w:pPr>
  </w:style>
  <w:style w:type="paragraph" w:styleId="para4">
    <w:name w:val="Balloon Text"/>
    <w:qFormat/>
    <w:basedOn w:val="para0"/>
    <w:pPr>
      <w:spacing w:after="0" w:line="240" w:lineRule="auto"/>
    </w:pPr>
    <w:rPr>
      <w:rFonts w:ascii="Tahoma" w:hAnsi="Tahoma" w:cs="Tahoma"/>
      <w:sz w:val="16"/>
      <w:szCs w:val="16"/>
    </w:rPr>
  </w:style>
  <w:style w:type="character" w:styleId="char0" w:default="1">
    <w:name w:val="Default Paragraph Font"/>
  </w:style>
  <w:style w:type="character" w:styleId="char1" w:customStyle="1">
    <w:name w:val="Üstbilgi Char"/>
    <w:basedOn w:val="char0"/>
  </w:style>
  <w:style w:type="character" w:styleId="char2" w:customStyle="1">
    <w:name w:val="Altbilgi Char"/>
    <w:basedOn w:val="char0"/>
  </w:style>
  <w:style w:type="character" w:styleId="char3" w:customStyle="1">
    <w:name w:val="Balon Metni Char"/>
    <w:basedOn w:val="char0"/>
    <w:rPr>
      <w:rFonts w:ascii="Tahoma" w:hAnsi="Tahoma" w:cs="Tahoma"/>
      <w:sz w:val="16"/>
      <w:szCs w:val="16"/>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spacing w:after="0" w:line="240" w:lineRule="auto"/>
    </w:p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No Spacing"/>
    <w:qFormat/>
    <w:pPr>
      <w:spacing w:after="0" w:line="240" w:lineRule="auto"/>
    </w:pPr>
    <w:rPr>
      <w:rFonts w:ascii="Calibri" w:hAnsi="Calibri" w:eastAsia="Calibri"/>
      <w:sz w:val="22"/>
      <w:szCs w:val="22"/>
      <w:lang w:val="tr-tr" w:bidi="ar-sa"/>
    </w:rPr>
  </w:style>
  <w:style w:type="paragraph" w:styleId="para2">
    <w:name w:val="Header"/>
    <w:qFormat/>
    <w:basedOn w:val="para0"/>
    <w:pPr>
      <w:spacing w:after="0" w:line="240" w:lineRule="auto"/>
      <w:tabs defTabSz="708">
        <w:tab w:val="center" w:pos="4536" w:leader="none"/>
        <w:tab w:val="right" w:pos="9072" w:leader="none"/>
      </w:tabs>
    </w:pPr>
  </w:style>
  <w:style w:type="paragraph" w:styleId="para3">
    <w:name w:val="Footer"/>
    <w:qFormat/>
    <w:basedOn w:val="para0"/>
    <w:pPr>
      <w:spacing w:after="0" w:line="240" w:lineRule="auto"/>
      <w:tabs defTabSz="708">
        <w:tab w:val="center" w:pos="4536" w:leader="none"/>
        <w:tab w:val="right" w:pos="9072" w:leader="none"/>
      </w:tabs>
    </w:pPr>
  </w:style>
  <w:style w:type="paragraph" w:styleId="para4">
    <w:name w:val="Balloon Text"/>
    <w:qFormat/>
    <w:basedOn w:val="para0"/>
    <w:pPr>
      <w:spacing w:after="0" w:line="240" w:lineRule="auto"/>
    </w:pPr>
    <w:rPr>
      <w:rFonts w:ascii="Tahoma" w:hAnsi="Tahoma" w:cs="Tahoma"/>
      <w:sz w:val="16"/>
      <w:szCs w:val="16"/>
    </w:rPr>
  </w:style>
  <w:style w:type="character" w:styleId="char0" w:default="1">
    <w:name w:val="Default Paragraph Font"/>
  </w:style>
  <w:style w:type="character" w:styleId="char1" w:customStyle="1">
    <w:name w:val="Üstbilgi Char"/>
    <w:basedOn w:val="char0"/>
  </w:style>
  <w:style w:type="character" w:styleId="char2" w:customStyle="1">
    <w:name w:val="Altbilgi Char"/>
    <w:basedOn w:val="char0"/>
  </w:style>
  <w:style w:type="character" w:styleId="char3" w:customStyle="1">
    <w:name w:val="Balon Metni Char"/>
    <w:basedOn w:val="char0"/>
    <w:rPr>
      <w:rFonts w:ascii="Tahoma" w:hAnsi="Tahoma" w:cs="Tahoma"/>
      <w:sz w:val="16"/>
      <w:szCs w:val="16"/>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spacing w:after="0" w:line="240" w:lineRule="auto"/>
    </w:p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PC</cp:lastModifiedBy>
  <cp:revision>21</cp:revision>
  <dcterms:created xsi:type="dcterms:W3CDTF">2021-02-19T07:38:00Z</dcterms:created>
  <dcterms:modified xsi:type="dcterms:W3CDTF">2021-02-19T19:38:00Z</dcterms:modified>
</cp:coreProperties>
</file>