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b/>
        </w:rPr>
      </w:pPr>
      <w:r>
        <w:t xml:space="preserve">       </w:t>
      </w:r>
      <w:r>
        <w:rPr>
          <w:b/>
        </w:rPr>
        <w:t>TOPLANTI TUTUNAĞI</w:t>
      </w:r>
      <w:r>
        <w:rPr>
          <w:b/>
        </w:rPr>
        <w:t xml:space="preserve">                                                       </w:t>
      </w:r>
      <w:r>
        <w:rPr>
          <w:b/>
        </w:rPr>
        <w:t xml:space="preserve">                                                         10.02.2021</w:t>
      </w:r>
      <w:r>
        <w:rPr>
          <w:b/>
        </w:rPr>
      </w:r>
    </w:p>
    <w:p>
      <w:pPr>
        <w:pStyle w:val="para1"/>
        <w:numPr>
          <w:ilvl w:val="0"/>
          <w:numId w:val="3"/>
        </w:numPr>
        <w:ind w:left="720" w:hanging="360"/>
      </w:pPr>
      <w:r>
        <w:t>Saat 11.00 itibari ile ZOOM video paylaşımı ile toplantı başlamış ve bütün zümre öğretmenlerimizin toplantıya katıldıkları görülmüştür.</w:t>
      </w:r>
    </w:p>
    <w:p>
      <w:pPr>
        <w:pStyle w:val="para1"/>
        <w:numPr>
          <w:ilvl w:val="0"/>
          <w:numId w:val="3"/>
        </w:numPr>
        <w:ind w:left="720" w:hanging="360"/>
      </w:pPr>
      <w:r>
        <w:t>Öğretmenlerimiz sınıf bazında değerlendirme yapmış olup bu süreçte olumsuz bir durumun oluşmadığı, uzaktan canlı derslerin kendi belirledikleri gün ve saatlerde zamansız ve eksiksiz yapıldığını, akademik başarının da çok yüksek olduğunu belirtmişlerdir.</w:t>
      </w:r>
    </w:p>
    <w:p>
      <w:pPr>
        <w:pStyle w:val="para1"/>
        <w:numPr>
          <w:ilvl w:val="0"/>
          <w:numId w:val="3"/>
        </w:numPr>
        <w:ind w:left="720" w:hanging="360"/>
      </w:pPr>
      <w:r>
        <w:t>Söz alan 1/A sınıf öğretmeni Eda ÖCAL; Uzaktan eğitim, öğretme ve öğrenme süreçlerinin teknoloji ve bilginin yapılandırılmış bir şekilde kullanılmasıyla gerçekleştirildiği eğitim şekli olduğunu, dünya genelinde yaşanmakta olan ve gündelik hayata dair hemen her eylemin değiştirilmesini zorunlu kılan COVID-19 pandemisi, eğitimin de şeklini değiştirerek uzaktan eğitime hızlı bir geçiş olmasına neden olduğunu, bu çalışmada ülkemizde de uzaktan eğitim süreçleri aracılığıyla uygulanmasına devam eden ilkokul öğretim programlarından bazılarının (hayat bilgisi, , Türkçe, matematik,) uzaktan eğitime uygunluklarının incelenerek öğretim programlarının ve uzaktan eğitim süreçlerinin geliştirilmesine ilişkin öneriler sunmuştur.</w:t>
      </w:r>
    </w:p>
    <w:p>
      <w:pPr>
        <w:pStyle w:val="para1"/>
      </w:pPr>
      <w:r>
        <w:t xml:space="preserve"> • Öğretmen ve öğrencinin öğrenme sürecinin süresi aracılığıyla yarı zamanlı(sürekli olmayan) ayrılığı (bu özellik, uzaktan eğitimi geleneksel yüz yüze eğitimden ayırmaktadır),</w:t>
      </w:r>
    </w:p>
    <w:p>
      <w:pPr>
        <w:pStyle w:val="para1"/>
      </w:pPr>
      <w:r>
        <w:t xml:space="preserve"> • Bir eğitim organizasyonunun hem planlamada hem de hem öğrenme materyallerinin hazırlanmasında hem de öğrenci desteğinin sağlanmasındaki etkisi (bu özellik, onu özel çalışmalardan ayırır ve bireysel eğitim programlarından ayırmaktadır),</w:t>
      </w:r>
    </w:p>
    <w:p>
      <w:pPr>
        <w:pStyle w:val="para1"/>
      </w:pPr>
      <w:r>
        <w:t xml:space="preserve"> • Öğretmen ve öğrenciyi birleştirmek ve dersin içeriğini yürütmek için teknik medyanın kullanımı (baskı, ses, video veya bilgisayar), </w:t>
      </w:r>
    </w:p>
    <w:p>
      <w:pPr>
        <w:pStyle w:val="para1"/>
      </w:pPr>
      <w:r>
        <w:t xml:space="preserve">• Çift yönlü iletişimin sağlanması, böylece öğrencinin kurulan diyalogdan yararlanması ve hatta diyalogbaşlatması(buözellikonueğitimdeteknolojinindiğerkullanımlarındanayırmaktadır), </w:t>
      </w:r>
    </w:p>
    <w:p>
      <w:pPr>
        <w:pStyle w:val="para1"/>
      </w:pPr>
      <w:r>
        <w:t>• Öğrenme grubunun öğrenme sürecinin süresi aracılığıyla yarı zamanlı (sürekli olmayan) ayrılığı ve böylelikle belirli aralıklarla hem öğretmek hem de sosyalleşmek için yapılan toplantılar sayesinde öğrencilerin grup içinde değil birey olarak görülmesi(Keegan, 1990. )</w:t>
      </w:r>
    </w:p>
    <w:p>
      <w:pPr>
        <w:pStyle w:val="para1"/>
      </w:pPr>
      <w:r>
        <w:t xml:space="preserve">    Uzaktan eğitimin öğrenenler için söz konusu özerkliği sağlayabilmesi için öğrenme süreçlerinin aşağıda yer alan özellikleri içerecek şekilde düzenlenmesi gerektiği fikrini sunmuştur.</w:t>
      </w:r>
    </w:p>
    <w:p>
      <w:pPr>
        <w:pStyle w:val="para1"/>
      </w:pPr>
      <w:r>
        <w:t xml:space="preserve">  • Tek bir öğrenci için bile olsa öğretim, öğrencilerin olduğu her yerde ulaşılabilir olmalıdır.</w:t>
      </w:r>
    </w:p>
    <w:p>
      <w:pPr>
        <w:pStyle w:val="para1"/>
      </w:pPr>
      <w:r>
        <w:t xml:space="preserve">  • Öğretime, öğrencinin öğrenmesi için daha fazla sorumluluk yüklenmelidir. </w:t>
      </w:r>
    </w:p>
    <w:p>
      <w:pPr>
        <w:pStyle w:val="para1"/>
      </w:pPr>
      <w:r>
        <w:t xml:space="preserve">  • Öğretim planı ya da sistemi öğretmenleri öğretim dışındaki görevlerden muaf tutarak eğitsel görevlerine daha fazla zaman ayırabilmeleri sağlanmalıdır.</w:t>
      </w:r>
    </w:p>
    <w:p>
      <w:pPr>
        <w:pStyle w:val="para1"/>
      </w:pPr>
      <w:r>
        <w:t xml:space="preserve">  • Öğretim sistemi öğrencilere konular, ders yöntemleri ve formatları için daha geniş seçenekler ve fırsatlar sunmalıdır.</w:t>
      </w:r>
    </w:p>
    <w:p>
      <w:pPr>
        <w:pStyle w:val="para1"/>
      </w:pPr>
      <w:r>
        <w:t xml:space="preserve">  • Öğretim sistemi, uygun olduğu şekilde, etkili olduğu kanıtlanmış tüm medya ve yöntemleri kullanmalıdır.</w:t>
      </w:r>
    </w:p>
    <w:p>
      <w:pPr>
        <w:pStyle w:val="para1"/>
      </w:pPr>
      <w:r>
        <w:t xml:space="preserve">  • Öğretim sistemi medya ile öğretim yöntemlerini birleştirerek bir konu ya da ünitenin en etkili yoldan öğretilmesini sağlamalıdır. </w:t>
      </w:r>
    </w:p>
    <w:p>
      <w:pPr>
        <w:pStyle w:val="para1"/>
      </w:pPr>
      <w:r>
        <w:t xml:space="preserve">  • Öğretimde kullanılan medya ve teknolojinin tasarım ve kullanım yönlerinden birbiri ile bağlantılı olması sağlanarak farklı medya ya da teknolojilerin birbirlerini, dersin yapısını ve öğretim planının güçlendirmeleri sağlanmalıdır.</w:t>
      </w:r>
    </w:p>
    <w:p>
      <w:pPr>
        <w:pStyle w:val="para1"/>
      </w:pPr>
      <w:r>
        <w:t xml:space="preserve">  • Öğretim sistemi öğrenciler ve öğretmenler arasındaki farklılıklara uyum sağlanabilmesini sağlayan fırsatları korumalı ve geliştirmelidir.</w:t>
      </w:r>
    </w:p>
    <w:p>
      <w:pPr>
        <w:pStyle w:val="para1"/>
      </w:pPr>
      <w:r>
        <w:t xml:space="preserve">  • Öğretim sistemi öğrenci başarısını öğrencinin çalıştığı yerle ilgili engelleri, çalıştığı oranı, çalıştığı yöntemi ve hatta çalıştığı sırayı arttırarak değil bunun yerine mümkün olduğunca doğrudan bir şekilde öğrenme hedeflerine ulaşıp ulaşmadığına bakarak değerlendirmelidir.</w:t>
      </w:r>
    </w:p>
    <w:p>
      <w:pPr>
        <w:pStyle w:val="para1"/>
      </w:pPr>
      <w:r>
        <w:t xml:space="preserve">  • Öğretim sistemi öğrencinin kısa ve uzun vadeli hedefleri, mevut durumu ve özellikleri ile tutarlı olacak şekilde kendi başlarına başlamalarına, durmalarına ve öğrenmelerine izin vermelidir (Wedemeyer, 1981).</w:t>
      </w:r>
    </w:p>
    <w:p>
      <w:pPr>
        <w:pStyle w:val="para1"/>
      </w:pPr>
      <w:r>
        <w:t xml:space="preserve">   Yukarıda listelenmiş olan özelliklerden anlaşılacağı üzere uzaktan eğitim süreçlerinin istenilen verimlilikte yürütülebilmesi için belirli bir sistematik dahilinde planlanması gerekmekte; bu nedenle hazırlık ve planlama aşaması uzaktan eğitim süreçlerinin önemli bir bölümünü oluşturmaktadır. Uzaktan eğitim yüz yüze öğrenim ile kıyaslandığında uygulanması daha kolay ve hedef kitlesi daha geniş ekonomik bir eğitim şekli olma özelliğine de sahiptir; ancak her eğitim şeklinde olduğu gibi uzaktan eğitim süreçlerinde de birtakım sınırlılıklar bulunmaktadır. Söz konusu sınırlılıklardan başlıcaları şunlardır; • Teknoloji kullanımında zorluk çekilmesi, </w:t>
      </w:r>
    </w:p>
    <w:p>
      <w:pPr>
        <w:pStyle w:val="para1"/>
      </w:pPr>
      <w:r>
        <w:t>• İleri derece planlama gerektirmesi,</w:t>
      </w:r>
    </w:p>
    <w:p>
      <w:pPr>
        <w:pStyle w:val="para1"/>
      </w:pPr>
      <w:r>
        <w:t xml:space="preserve"> • Anlık geri bildirim sağlamaması, </w:t>
      </w:r>
    </w:p>
    <w:p>
      <w:pPr>
        <w:pStyle w:val="para1"/>
      </w:pPr>
      <w:r>
        <w:t xml:space="preserve">• Bazı derslerin uzaktan eğitime uygun olmaması, • Sözlü iletişimin gelişmesine olanak vermemesi, </w:t>
      </w:r>
    </w:p>
    <w:p>
      <w:pPr>
        <w:pStyle w:val="para1"/>
      </w:pPr>
      <w:r>
        <w:t>• Sosyal izolasyon olabilmektedir (Akt, Yeşil, 2017). Öğretmenimiz verdiği bu bilgiler ışığında sene başında belirlenen yıllık planlar doğrultusunda uzaktan ve yüz yüze eğitimimizin devam etmesi gerektiğini söylemiştir.</w:t>
      </w:r>
    </w:p>
    <w:p>
      <w:pPr>
        <w:pStyle w:val="para1"/>
        <w:numPr>
          <w:ilvl w:val="0"/>
          <w:numId w:val="3"/>
        </w:numPr>
        <w:ind w:left="720" w:hanging="360"/>
      </w:pPr>
      <w:r>
        <w:t xml:space="preserve">Söz alan 1/D sınıf öğretmeni Fatma GÜRSOY; Tamamlayıcı eğitim çalışmalarının bu süreçte yapılmasının mümkün olmadığını fakat kendi sınıf içinde ihtiyaç duyan öğretmenlerimizin uzaktan zoom destekli canlı dersler yaparak bu problemlerini tam olmasa bile belli bir seviyede çözümleyebileceği önerisinde bulundu diğer öğretmenlerimiz de bu görüşe katıldı. Konuşmasına devam eden öğretmenimiz; </w:t>
      </w:r>
    </w:p>
    <w:p>
      <w:pPr>
        <w:pStyle w:val="para1"/>
      </w:pPr>
      <w:r>
        <w:t>teknoloji destekli öğretim, yeni nesil öğrenme ortamları, mobil öğrenme, öğrenmeyi destekleyen teknolojiler konularının tarafından incelendiğini zaten bu dönemde bilgisayar ve internet destekli çalışıldığını, mobil öğrenmenin eğitimde fırsat eşitliği sağladığını, mobil öğrenmede en önemli noktanın geri bildirim ve anlık değerlendirme olduğu fakat uzaktan eğitimin bundan tamamen farklı olduğunu, insanların boş zamanlarını değerlendirmelerini sağladığını, insanların anında iletişim ve paylaşma sürelerini azatlığını tani kısaca ‘Anında’ lık sağladığını, özel eğitime ihtiyaç duyan öğrencilerimizin, ihtiyaçlarına cevap verdiğini, insanların işbirliğine dayalı öğrenmelerine olanak sağladığını belirtti. Katılımcı öğretmenlerimiz hem fikir olduklarını belirttiler.</w:t>
      </w:r>
    </w:p>
    <w:p>
      <w:pPr>
        <w:pStyle w:val="para1"/>
        <w:numPr>
          <w:ilvl w:val="0"/>
          <w:numId w:val="3"/>
        </w:numPr>
        <w:ind w:left="720" w:hanging="360"/>
      </w:pPr>
      <w:r>
        <w:t>Söz alan 1/J sınıf öğretmenimiz ve zümre başkanı Hünkâr YÖNDEMLİ; bu konunun rehberlik servisi tarafından incelenip, zümre öğretmen arkadaşlarımızın bilgilendirileceğini belirtti.</w:t>
      </w:r>
    </w:p>
    <w:p>
      <w:pPr>
        <w:pStyle w:val="para1"/>
        <w:numPr>
          <w:ilvl w:val="0"/>
          <w:numId w:val="3"/>
        </w:numPr>
        <w:ind w:left="720" w:hanging="360"/>
      </w:pPr>
      <w:r>
        <w:t>Söz alan 1/B sınıf öğretmenimiz Selver ARIBAL; her dersimizin öğretim programındaki amaç ve kazanımlarının yıllık planımızda bulunduğu ve yapılan günlük planlarımızda bu kazanımların alınarak uzaktan eğitim çalışmalarında öğrencilerimize eksiksiz verildiğini, hedeflenen amaçlara/kazanımlara ulaşılmada sorunlarla karşılaşılmadığını hem kendisi söylemiş hem de zümrer öğretmenlerimizde aynı fikirde olduklarını belirtmişlerdir. Yenilenen öğretim programlarının olmadığını, güncellenen programlarının da sene başında zümre öğretmenler tarafından toplantıda görüşülerek, yıllık planlarda düzenlemelere gidildiğini belirtmiştir.</w:t>
      </w:r>
    </w:p>
    <w:p>
      <w:pPr>
        <w:pStyle w:val="para1"/>
        <w:numPr>
          <w:ilvl w:val="0"/>
          <w:numId w:val="3"/>
        </w:numPr>
        <w:ind w:left="720" w:hanging="360"/>
      </w:pPr>
      <w:r>
        <w:t>Söz alan 1/İ sınıf öğretmenimiz Zehra GÖKÇE; Günümüz eğitim dünyası köklü ve hızlı bir biçimde değişim yaşamaktadır. Bu değişimin bir yansıması olarak öğrenmeye ve öğretmeye yönelik yeni yaklaşımlar ortaya atılmaktadır. Özellikle son zamanlarda, yaratıcı ve kritik düşünme, problem çözme, öğrendiklerini yeni durumlara uyarlayabilme ve bilgi teknolojilerini etkin kullanabilme bireylerden beklenen temel beceriler olarak benimsenmiştir (Demirli, 2007). Birçok eğitimci, uzaktan eğitime katılan öğrencilerin geleneksel yüz yüze eğitim alan öğrenciler kadar öğrenip öğrenmediklerini sorgulamaktadır. Araştırma sonuçları; doğru metot ve teknoloji kullanıldığı, öğrenciler arasında iletişim sağlandığı ve öğretmen-öğrenci arasında karşılıklı iletişim olduğu sürece uzaktan eğitimin en az yüz yüze eğitim kadar veya değerlendirme sonuçlarına göre daha başarılı olduğunu göstermiştir dedi.</w:t>
      </w:r>
    </w:p>
    <w:p>
      <w:pPr>
        <w:pStyle w:val="para1"/>
      </w:pPr>
      <w:r>
        <w:t>Söz alan 1/C sınıf öğretmenimiz Sevda AYDOĞDU; çevrimiçi değerlendirme yapılırken aşağıdaki ilkeler göz önünde bulundurulmalıdır:  Öğrenci merkezli değerlendirmeler, çalışmalar ve ödevler tasarlamak,</w:t>
      </w:r>
      <w:r>
        <w:rPr>
          <w:rFonts w:ascii="Symbol" w:hAnsi="Symbol"/>
        </w:rPr>
        <w:t></w:t>
      </w:r>
      <w:r>
        <w:t xml:space="preserve"> Çeşitli öğretme teknikleri, değerlendirme ölçütleri içeren dersler hazırlamak, hile ve</w:t>
      </w:r>
      <w:r>
        <w:rPr>
          <w:rFonts w:ascii="Symbol" w:hAnsi="Symbol"/>
        </w:rPr>
        <w:t></w:t>
      </w:r>
      <w:r>
        <w:t xml:space="preserve"> kopyayı engelleyici ödevler istemek,  Öğrencinin, katkılarını değerlendirmek, kullanmak ve ödüllendirmek,</w:t>
      </w:r>
      <w:r>
        <w:rPr>
          <w:rFonts w:ascii="Symbol" w:hAnsi="Symbol"/>
        </w:rPr>
        <w:t></w:t>
      </w:r>
      <w:r>
        <w:t xml:space="preserve">  Öz değerlendirme için temel oluşturan öğrencinin performans beklentilerini gösteren</w:t>
      </w:r>
      <w:r>
        <w:rPr>
          <w:rFonts w:ascii="Symbol" w:hAnsi="Symbol"/>
        </w:rPr>
        <w:t></w:t>
      </w:r>
      <w:r>
        <w:t xml:space="preserve"> rubrikler (</w:t>
      </w:r>
      <w:r>
        <w:rPr>
          <w:rFonts w:ascii="Arial" w:hAnsi="Arial" w:cs="Arial"/>
          <w:color w:val="4d5156"/>
          <w:sz w:val="21"/>
          <w:szCs w:val="21"/>
          <w:shd w:val="clear" w:fill="ffffff"/>
        </w:rPr>
        <w:t>  belirlenmiş ölçütler takımına dayalı olarak öğrenci performansının değerlendirilmesi amacıyla geliştirilmiş puanlama yönergeleri)</w:t>
      </w:r>
      <w:r>
        <w:t xml:space="preserve"> kullanmak,  Ödevler ve değerlendirmeler konusunda çabuk geri bildirim almayı sağlamak,</w:t>
      </w:r>
      <w:r>
        <w:rPr>
          <w:rFonts w:ascii="Symbol" w:hAnsi="Symbol"/>
        </w:rPr>
        <w:t></w:t>
      </w:r>
      <w:r>
        <w:t xml:space="preserve">  "Kitap açık " modeliyle testler ve kısa sınavlar (quiz) hazırlamak,</w:t>
      </w:r>
      <w:r>
        <w:rPr>
          <w:rFonts w:ascii="Symbol" w:hAnsi="Symbol"/>
        </w:rPr>
        <w:t></w:t>
      </w:r>
      <w:r>
        <w:t xml:space="preserve">  Çevrimiçi değerlendirmeleri etkili kılmak için, performans değerlendirmesi, otantik</w:t>
      </w:r>
      <w:r>
        <w:rPr>
          <w:rFonts w:ascii="Symbol" w:hAnsi="Symbol"/>
        </w:rPr>
        <w:t></w:t>
      </w:r>
      <w:r>
        <w:t xml:space="preserve"> (gerçek) değerlendirme, projeler, portfolyolar, öz değerlendirmeler, arkadaşını değerlendirme  ve tartışma ödevlerinin de içinde bulunduğu haftalık ödevlere başvurmak gerekmektedir dedi. Zümre öğretmenlerim de bu görüşlere katıldılar.</w:t>
      </w:r>
    </w:p>
    <w:p>
      <w:pPr>
        <w:pStyle w:val="para1"/>
        <w:numPr>
          <w:ilvl w:val="0"/>
          <w:numId w:val="3"/>
        </w:numPr>
        <w:ind w:left="720" w:hanging="360"/>
        <w:rPr>
          <w:rFonts w:eastAsia="Times New Roman"/>
        </w:rPr>
      </w:pPr>
      <w:r>
        <w:t xml:space="preserve">Söz alan 1/E sınıf öğretmenimiz Seval ARSLANBENZER; </w:t>
      </w:r>
      <w:r>
        <w:rPr>
          <w:rFonts w:eastAsia="Times New Roman"/>
        </w:rPr>
        <w:t xml:space="preserve">Öğretim teknolojileri ve materyalleri öğrenmenin kalıcı izli olmasını sağlamak bakımından çok önemlidir. Bir öğretme etkinliği ne kadar çok duyu organına hitap ederse öğrenme daha iyi daha kalıcı ve daha izli olmakta, unutma da geç olmaktadır. </w:t>
      </w:r>
      <w:r>
        <w:rPr>
          <w:rFonts w:eastAsia="Times New Roman"/>
        </w:rPr>
      </w:r>
    </w:p>
    <w:p>
      <w:pPr>
        <w:outlineLvl w:val="0"/>
        <w:rPr>
          <w:rFonts w:eastAsia="Times New Roman"/>
          <w:b/>
          <w:bCs/>
          <w:i/>
          <w:iCs/>
          <w:u w:color="auto" w:val="single"/>
        </w:rPr>
      </w:pPr>
      <w:r>
        <w:t xml:space="preserve">               </w:t>
      </w:r>
      <w:r>
        <w:rPr>
          <w:rFonts w:eastAsia="Times New Roman"/>
          <w:b/>
          <w:bCs/>
          <w:i/>
          <w:iCs/>
          <w:u w:color="auto" w:val="single"/>
        </w:rPr>
        <w:t>MATERYALLER (</w:t>
      </w:r>
      <w:r>
        <w:rPr>
          <w:rFonts w:eastAsia="Times New Roman"/>
          <w:b/>
          <w:bCs/>
          <w:i/>
          <w:iCs/>
          <w:u w:color="auto" w:val="single"/>
        </w:rPr>
        <w:t>Araç-Gereç</w:t>
      </w:r>
      <w:r>
        <w:rPr>
          <w:rFonts w:eastAsia="Times New Roman"/>
          <w:b/>
          <w:bCs/>
          <w:i/>
          <w:iCs/>
          <w:u w:color="auto" w:val="single"/>
        </w:rPr>
        <w:t>)</w:t>
      </w:r>
      <w:r>
        <w:rPr>
          <w:rFonts w:eastAsia="Times New Roman"/>
          <w:b/>
          <w:bCs/>
          <w:i/>
          <w:iCs/>
          <w:u w:color="auto" w:val="single"/>
        </w:rPr>
        <w:t xml:space="preserve"> kavramları</w:t>
      </w:r>
      <w:r>
        <w:rPr>
          <w:rFonts w:eastAsia="Times New Roman"/>
          <w:b/>
          <w:bCs/>
          <w:i/>
          <w:iCs/>
          <w:u w:color="auto" w:val="single"/>
        </w:rPr>
      </w:r>
    </w:p>
    <w:p>
      <w:pPr>
        <w:rPr>
          <w:rFonts w:eastAsia="Times New Roman"/>
        </w:rPr>
      </w:pPr>
      <w:r>
        <w:rPr>
          <w:rFonts w:eastAsia="Times New Roman"/>
          <w:b/>
          <w:bCs/>
        </w:rPr>
        <w:t>Araç:</w:t>
      </w:r>
      <w:r>
        <w:rPr>
          <w:rFonts w:eastAsia="Times New Roman"/>
        </w:rPr>
        <w:t xml:space="preserve"> Daha çok mekanik nitelikteki yardımcı olup; gereci sunmada vazgeçilmez öğedir. Örnek:  bilgisayar, televizyon, </w:t>
      </w:r>
      <w:r>
        <w:rPr>
          <w:rFonts w:eastAsia="Times New Roman"/>
        </w:rPr>
        <w:t>projeksiyon</w:t>
      </w:r>
      <w:r>
        <w:rPr>
          <w:rFonts w:eastAsia="Times New Roman"/>
        </w:rPr>
        <w:t xml:space="preserve">, </w:t>
      </w:r>
      <w:r>
        <w:rPr>
          <w:rFonts w:eastAsia="Times New Roman"/>
        </w:rPr>
        <w:t>ses sistemi.</w:t>
      </w:r>
      <w:r>
        <w:rPr>
          <w:rFonts w:eastAsia="Times New Roman"/>
        </w:rPr>
      </w:r>
    </w:p>
    <w:p>
      <w:pPr>
        <w:rPr>
          <w:rFonts w:eastAsia="Times New Roman"/>
        </w:rPr>
      </w:pPr>
      <w:r>
        <w:rPr>
          <w:rFonts w:eastAsia="Times New Roman"/>
          <w:b/>
          <w:bCs/>
        </w:rPr>
        <w:t>Gereç ise;</w:t>
      </w:r>
      <w:r>
        <w:rPr>
          <w:rFonts w:eastAsia="Times New Roman"/>
        </w:rPr>
        <w:t xml:space="preserve"> daha çok yazılı basılı nitelikteki yardımcı olup, aracın vazgeçilmez öğesidir. Örnek: </w:t>
      </w:r>
      <w:r>
        <w:rPr>
          <w:rFonts w:eastAsia="Times New Roman"/>
        </w:rPr>
        <w:t>cd</w:t>
      </w:r>
      <w:r>
        <w:rPr>
          <w:rFonts w:eastAsia="Times New Roman"/>
        </w:rPr>
        <w:t>,</w:t>
      </w:r>
      <w:r>
        <w:rPr>
          <w:rFonts w:eastAsia="Times New Roman"/>
        </w:rPr>
        <w:t xml:space="preserve"> </w:t>
      </w:r>
      <w:r>
        <w:rPr>
          <w:rFonts w:eastAsia="Times New Roman"/>
        </w:rPr>
        <w:t>eğitim programları, bilgisayar ve televizyon programları.</w:t>
      </w:r>
      <w:r>
        <w:rPr>
          <w:rFonts w:eastAsia="Times New Roman"/>
        </w:rPr>
      </w:r>
    </w:p>
    <w:p>
      <w:pPr>
        <w:outlineLvl w:val="0"/>
        <w:rPr>
          <w:rFonts w:eastAsia="Times New Roman"/>
        </w:rPr>
      </w:pPr>
      <w:r>
        <w:rPr>
          <w:rFonts w:eastAsia="Times New Roman"/>
          <w:b/>
          <w:bCs/>
          <w:i/>
          <w:iCs/>
        </w:rPr>
        <w:t>MATERYALLERİN SINIFLAMASI</w:t>
      </w:r>
      <w:r>
        <w:rPr>
          <w:rFonts w:eastAsia="Times New Roman"/>
        </w:rPr>
      </w:r>
    </w:p>
    <w:tbl>
      <w:tblPr>
        <w:tblStyle w:val="NormalTable"/>
        <w:name w:val="Tablo1"/>
        <w:tabOrder w:val="0"/>
        <w:jc w:val="left"/>
        <w:tblInd w:w="0" w:type="dxa"/>
        <w:tblW w:w="9375" w:type="dxa"/>
        <w:tblLook w:val="0000" w:firstRow="0" w:lastRow="0" w:firstColumn="0" w:lastColumn="0" w:noHBand="0" w:noVBand="0"/>
      </w:tblPr>
      <w:tblGrid>
        <w:gridCol w:w="3435"/>
        <w:gridCol w:w="5940"/>
      </w:tblGrid>
      <w:tr>
        <w:trPr>
          <w:cantSplit w:val="0"/>
          <w:trHeight w:val="825" w:hRule="atLeast"/>
        </w:trPr>
        <w:tc>
          <w:tcPr>
            <w:tcW w:w="3435" w:type="dxa"/>
            <w:shd w:val="solid" w:color="92B0C8" tmshd="1677721856, 0, 13152402"/>
            <w:tcMar>
              <w:left w:w="0" w:type="dxa"/>
              <w:right w:w="0" w:type="dxa"/>
            </w:tcMar>
            <w:tcBorders>
              <w:top w:val="single" w:sz="6" w:space="0" w:color="FFFFFF" tmln="15, 20, 20, 0, 0"/>
              <w:left w:val="single" w:sz="6" w:space="0" w:color="FFFFFF" tmln="15, 20, 20, 0, 0"/>
              <w:bottom w:val="single" w:sz="18" w:space="0" w:color="FFFFFF" tmln="45, 20, 20, 0, 0"/>
              <w:right w:val="single" w:sz="6" w:space="0" w:color="FFFFFF" tmln="15, 20, 20, 0, 0"/>
            </w:tcBorders>
            <w:tmTcPr id="1613826645" protected="0"/>
          </w:tcPr>
          <w:p>
            <w:pPr>
              <w:rPr>
                <w:rFonts w:eastAsia="Times New Roman"/>
              </w:rPr>
            </w:pPr>
            <w:r>
              <w:rPr>
                <w:rFonts w:eastAsia="Times New Roman"/>
                <w:b/>
                <w:bCs/>
              </w:rPr>
              <w:t xml:space="preserve">Görsel Araçlar-Gereçler: </w:t>
            </w:r>
            <w:r>
              <w:rPr>
                <w:rFonts w:eastAsia="Times New Roman"/>
              </w:rPr>
            </w:r>
          </w:p>
        </w:tc>
        <w:tc>
          <w:tcPr>
            <w:tcW w:w="5940" w:type="dxa"/>
            <w:shd w:val="solid" w:color="92B0C8" tmshd="1677721856, 0, 13152402"/>
            <w:tcMar>
              <w:left w:w="0" w:type="dxa"/>
              <w:right w:w="0" w:type="dxa"/>
            </w:tcMar>
            <w:tcBorders>
              <w:top w:val="single" w:sz="6" w:space="0" w:color="FFFFFF" tmln="15, 20, 20, 0, 0"/>
              <w:left w:val="single" w:sz="6" w:space="0" w:color="FFFFFF" tmln="15, 20, 20, 0, 0"/>
              <w:bottom w:val="single" w:sz="18" w:space="0" w:color="FFFFFF" tmln="45, 20, 20, 0, 0"/>
              <w:right w:val="single" w:sz="6" w:space="0" w:color="FFFFFF" tmln="15, 20, 20, 0, 0"/>
            </w:tcBorders>
            <w:tmTcPr id="1613826645" protected="0"/>
          </w:tcPr>
          <w:p>
            <w:pPr>
              <w:rPr>
                <w:rFonts w:eastAsia="Times New Roman"/>
                <w:bCs/>
              </w:rPr>
            </w:pPr>
            <w:r>
              <w:rPr>
                <w:rFonts w:eastAsia="Times New Roman"/>
                <w:bCs/>
              </w:rPr>
              <w:t xml:space="preserve">Sadece görme duyusuna hitap ederler. Her türlü basılı-yazılı gereçler, hareketsiz resimler, afişler, </w:t>
            </w:r>
            <w:r>
              <w:rPr>
                <w:bCs/>
              </w:rPr>
              <w:t>slâytlar</w:t>
            </w:r>
            <w:r>
              <w:rPr>
                <w:rFonts w:eastAsia="Times New Roman"/>
                <w:bCs/>
              </w:rPr>
              <w:t>, film şeritleri görsel gereçlerdir</w:t>
            </w:r>
            <w:r>
              <w:rPr>
                <w:rFonts w:eastAsia="Times New Roman"/>
                <w:bCs/>
              </w:rPr>
              <w:t>)</w:t>
            </w:r>
            <w:r>
              <w:rPr>
                <w:rFonts w:eastAsia="Times New Roman"/>
                <w:bCs/>
              </w:rPr>
              <w:t>.</w:t>
            </w:r>
            <w:r>
              <w:rPr>
                <w:rFonts w:eastAsia="Times New Roman"/>
                <w:bCs/>
              </w:rPr>
            </w:r>
          </w:p>
        </w:tc>
      </w:tr>
      <w:tr>
        <w:trPr>
          <w:cantSplit w:val="0"/>
          <w:trHeight w:val="555" w:hRule="atLeast"/>
        </w:trPr>
        <w:tc>
          <w:tcPr>
            <w:tcW w:w="3435" w:type="dxa"/>
            <w:shd w:val="solid" w:color="DCE4EB" tmshd="1677721856, 0, 15459548"/>
            <w:tcMar>
              <w:left w:w="0" w:type="dxa"/>
              <w:right w:w="0" w:type="dxa"/>
            </w:tcMar>
            <w:tcBorders>
              <w:top w:val="single" w:sz="18" w:space="0" w:color="FFFFFF" tmln="45, 20, 20, 0, 0"/>
              <w:left w:val="single" w:sz="6" w:space="0" w:color="FFFFFF" tmln="15, 20, 20, 0, 0"/>
              <w:bottom w:val="single" w:sz="6" w:space="0" w:color="FFFFFF" tmln="15, 20, 20, 0, 0"/>
              <w:right w:val="single" w:sz="6" w:space="0" w:color="FFFFFF" tmln="15, 20, 20, 0, 0"/>
            </w:tcBorders>
            <w:tmTcPr id="1613826645" protected="0"/>
          </w:tcPr>
          <w:p>
            <w:pPr>
              <w:rPr>
                <w:rFonts w:eastAsia="Times New Roman"/>
              </w:rPr>
            </w:pPr>
            <w:r>
              <w:rPr>
                <w:b/>
                <w:bCs/>
              </w:rPr>
              <w:t>İşitsel Araçlar</w:t>
            </w:r>
            <w:r>
              <w:rPr>
                <w:rFonts w:eastAsia="Times New Roman"/>
                <w:b/>
                <w:bCs/>
              </w:rPr>
              <w:t>-Gereçler:</w:t>
            </w:r>
            <w:r>
              <w:rPr>
                <w:rFonts w:eastAsia="Times New Roman"/>
              </w:rPr>
              <w:t xml:space="preserve"> </w:t>
            </w:r>
            <w:r>
              <w:rPr>
                <w:rFonts w:eastAsia="Times New Roman"/>
              </w:rPr>
            </w:r>
          </w:p>
        </w:tc>
        <w:tc>
          <w:tcPr>
            <w:tcW w:w="5940" w:type="dxa"/>
            <w:shd w:val="solid" w:color="DCE4EB" tmshd="1677721856, 0, 15459548"/>
            <w:tcMar>
              <w:left w:w="0" w:type="dxa"/>
              <w:right w:w="0" w:type="dxa"/>
            </w:tcMar>
            <w:tcBorders>
              <w:top w:val="single" w:sz="18" w:space="0" w:color="FFFFFF" tmln="45, 20, 20, 0, 0"/>
              <w:left w:val="single" w:sz="6" w:space="0" w:color="FFFFFF" tmln="15, 20, 20, 0, 0"/>
              <w:bottom w:val="single" w:sz="6" w:space="0" w:color="FFFFFF" tmln="15, 20, 20, 0, 0"/>
              <w:right w:val="single" w:sz="6" w:space="0" w:color="FFFFFF" tmln="15, 20, 20, 0, 0"/>
            </w:tcBorders>
            <w:tmTcPr id="1613826645" protected="0"/>
          </w:tcPr>
          <w:p>
            <w:pPr>
              <w:rPr>
                <w:rFonts w:eastAsia="Times New Roman"/>
              </w:rPr>
            </w:pPr>
            <w:r>
              <w:rPr>
                <w:rFonts w:eastAsia="Times New Roman"/>
              </w:rPr>
              <w:t xml:space="preserve">Sadece işitme duyusuna hitap ederler. Ör: </w:t>
            </w:r>
            <w:r>
              <w:t>Radyo, müzik</w:t>
            </w:r>
            <w:r>
              <w:rPr>
                <w:rFonts w:eastAsia="Times New Roman"/>
              </w:rPr>
              <w:t xml:space="preserve"> çalar.</w:t>
            </w:r>
            <w:r>
              <w:rPr>
                <w:rFonts w:eastAsia="Times New Roman"/>
              </w:rPr>
            </w:r>
          </w:p>
        </w:tc>
      </w:tr>
      <w:tr>
        <w:trPr>
          <w:cantSplit w:val="0"/>
          <w:trHeight w:val="822" w:hRule="atLeast"/>
        </w:trPr>
        <w:tc>
          <w:tcPr>
            <w:tcW w:w="3435" w:type="dxa"/>
            <w:shd w:val="solid" w:color="EEF2F5" tmshd="1677721856, 0, 16118510"/>
            <w:tcMar>
              <w:left w:w="0" w:type="dxa"/>
              <w:right w:w="0" w:type="dxa"/>
            </w:tcMar>
            <w:tcBorders>
              <w:top w:val="single" w:sz="6" w:space="0" w:color="FFFFFF" tmln="15, 20, 20, 0, 0"/>
              <w:left w:val="single" w:sz="6" w:space="0" w:color="FFFFFF" tmln="15, 20, 20, 0, 0"/>
              <w:bottom w:val="single" w:sz="6" w:space="0" w:color="FFFFFF" tmln="15, 20, 20, 0, 0"/>
              <w:right w:val="single" w:sz="6" w:space="0" w:color="FFFFFF" tmln="15, 20, 20, 0, 0"/>
            </w:tcBorders>
            <w:tmTcPr id="1613826645" protected="0"/>
          </w:tcPr>
          <w:p>
            <w:pPr>
              <w:rPr>
                <w:rFonts w:eastAsia="Times New Roman"/>
              </w:rPr>
            </w:pPr>
            <w:r>
              <w:rPr>
                <w:rFonts w:eastAsia="Times New Roman"/>
                <w:b/>
                <w:bCs/>
              </w:rPr>
              <w:t xml:space="preserve">Görsel- İşitsel Araçlar-Gereçler: </w:t>
            </w:r>
            <w:r>
              <w:rPr>
                <w:rFonts w:eastAsia="Times New Roman"/>
              </w:rPr>
            </w:r>
          </w:p>
        </w:tc>
        <w:tc>
          <w:tcPr>
            <w:tcW w:w="5940" w:type="dxa"/>
            <w:shd w:val="solid" w:color="EEF2F5" tmshd="1677721856, 0, 16118510"/>
            <w:tcMar>
              <w:left w:w="0" w:type="dxa"/>
              <w:right w:w="0" w:type="dxa"/>
            </w:tcMar>
            <w:tcBorders>
              <w:top w:val="single" w:sz="6" w:space="0" w:color="FFFFFF" tmln="15, 20, 20, 0, 0"/>
              <w:left w:val="single" w:sz="6" w:space="0" w:color="FFFFFF" tmln="15, 20, 20, 0, 0"/>
              <w:bottom w:val="single" w:sz="6" w:space="0" w:color="FFFFFF" tmln="15, 20, 20, 0, 0"/>
              <w:right w:val="single" w:sz="6" w:space="0" w:color="FFFFFF" tmln="15, 20, 20, 0, 0"/>
            </w:tcBorders>
            <w:tmTcPr id="1613826645" protected="0"/>
          </w:tcPr>
          <w:p>
            <w:pPr>
              <w:rPr>
                <w:rFonts w:eastAsia="Times New Roman"/>
              </w:rPr>
            </w:pPr>
            <w:r>
              <w:rPr>
                <w:rFonts w:eastAsia="Times New Roman"/>
              </w:rPr>
              <w:t>Hem görme, hem de işitme duyusuna hitap ederler. Ör: Bilgisayar, televizyon</w:t>
            </w:r>
          </w:p>
        </w:tc>
      </w:tr>
    </w:tbl>
    <w:p>
      <w:pPr>
        <w:outlineLvl w:val="0"/>
        <w:rPr>
          <w:rFonts w:eastAsia="Times New Roman"/>
          <w:b/>
          <w:i/>
        </w:rPr>
      </w:pPr>
      <w:r>
        <w:rPr>
          <w:rFonts w:eastAsia="Times New Roman"/>
          <w:b/>
          <w:bCs/>
          <w:i/>
          <w:iCs/>
        </w:rPr>
        <w:t>Materyal Kullanmanın Faydaları</w:t>
      </w:r>
      <w:r>
        <w:rPr>
          <w:rFonts w:eastAsia="Times New Roman"/>
          <w:b/>
          <w:i/>
        </w:rPr>
      </w:r>
    </w:p>
    <w:p>
      <w:pPr>
        <w:numPr>
          <w:ilvl w:val="0"/>
          <w:numId w:val="1"/>
        </w:numPr>
        <w:ind w:left="720" w:hanging="360"/>
        <w:spacing w:after="0" w:line="240" w:lineRule="auto"/>
        <w:rPr>
          <w:rFonts w:eastAsia="Times New Roman"/>
        </w:rPr>
      </w:pPr>
      <w:r>
        <w:rPr>
          <w:rFonts w:eastAsia="Times New Roman"/>
        </w:rPr>
        <w:t>Zamandan ve sözden ekonomi sağlar</w:t>
      </w:r>
    </w:p>
    <w:p>
      <w:pPr>
        <w:numPr>
          <w:ilvl w:val="0"/>
          <w:numId w:val="1"/>
        </w:numPr>
        <w:ind w:left="720" w:hanging="360"/>
        <w:spacing w:after="0" w:line="240" w:lineRule="auto"/>
        <w:rPr>
          <w:rFonts w:eastAsia="Times New Roman"/>
        </w:rPr>
      </w:pPr>
      <w:r>
        <w:rPr>
          <w:rFonts w:eastAsia="Times New Roman"/>
        </w:rPr>
        <w:t>Belli bir fikrin göz önünde canlandırılmasına yarar</w:t>
      </w:r>
    </w:p>
    <w:p>
      <w:pPr>
        <w:numPr>
          <w:ilvl w:val="0"/>
          <w:numId w:val="1"/>
        </w:numPr>
        <w:ind w:left="720" w:hanging="360"/>
        <w:spacing w:after="0" w:line="240" w:lineRule="auto"/>
        <w:rPr>
          <w:rFonts w:eastAsia="Times New Roman"/>
        </w:rPr>
      </w:pPr>
      <w:r>
        <w:rPr>
          <w:rFonts w:eastAsia="Times New Roman"/>
        </w:rPr>
        <w:t>Karmaşık fikirleri basite indirgeyerek açıklarlar</w:t>
      </w:r>
    </w:p>
    <w:p>
      <w:pPr>
        <w:numPr>
          <w:ilvl w:val="0"/>
          <w:numId w:val="1"/>
        </w:numPr>
        <w:ind w:left="720" w:hanging="360"/>
        <w:spacing w:after="0" w:line="240" w:lineRule="auto"/>
        <w:rPr>
          <w:rFonts w:eastAsia="Times New Roman"/>
        </w:rPr>
      </w:pPr>
      <w:r>
        <w:rPr>
          <w:rFonts w:eastAsia="Times New Roman"/>
        </w:rPr>
        <w:t>Öğretimi canlı ve açık hale getirirler</w:t>
      </w:r>
    </w:p>
    <w:p>
      <w:pPr>
        <w:numPr>
          <w:ilvl w:val="0"/>
          <w:numId w:val="1"/>
        </w:numPr>
        <w:ind w:left="720" w:hanging="360"/>
        <w:spacing w:after="0" w:line="240" w:lineRule="auto"/>
        <w:rPr>
          <w:rFonts w:eastAsia="Times New Roman"/>
        </w:rPr>
      </w:pPr>
      <w:r>
        <w:rPr>
          <w:rFonts w:eastAsia="Times New Roman"/>
        </w:rPr>
        <w:t>Öğrencilerin ilgi ve dikkatini arttırırlar</w:t>
      </w:r>
    </w:p>
    <w:p>
      <w:pPr>
        <w:numPr>
          <w:ilvl w:val="0"/>
          <w:numId w:val="1"/>
        </w:numPr>
        <w:ind w:left="720" w:hanging="360"/>
        <w:spacing w:after="0" w:line="240" w:lineRule="auto"/>
        <w:rPr>
          <w:rFonts w:eastAsia="Times New Roman"/>
        </w:rPr>
      </w:pPr>
      <w:r>
        <w:rPr>
          <w:rFonts w:eastAsia="Times New Roman"/>
        </w:rPr>
        <w:t>Öğrenme arzusu meydana getirirler</w:t>
      </w:r>
    </w:p>
    <w:p>
      <w:pPr>
        <w:numPr>
          <w:ilvl w:val="0"/>
          <w:numId w:val="1"/>
        </w:numPr>
        <w:ind w:left="720" w:hanging="360"/>
        <w:spacing w:after="0" w:line="240" w:lineRule="auto"/>
        <w:rPr>
          <w:rFonts w:eastAsia="Times New Roman"/>
        </w:rPr>
      </w:pPr>
      <w:r>
        <w:rPr>
          <w:rFonts w:eastAsia="Times New Roman"/>
        </w:rPr>
        <w:t>Öğretimi zenginleştirirler.</w:t>
      </w:r>
    </w:p>
    <w:p>
      <w:pPr>
        <w:outlineLvl w:val="0"/>
        <w:rPr>
          <w:rFonts w:eastAsia="Times New Roman"/>
        </w:rPr>
      </w:pPr>
      <w:r>
        <w:rPr>
          <w:rFonts w:eastAsia="Times New Roman"/>
          <w:b/>
          <w:bCs/>
        </w:rPr>
        <w:t>Materyal Seçerken / Kullanırken Dikkat Edilmesi Gereken Hususlar</w:t>
      </w:r>
      <w:r>
        <w:rPr>
          <w:rFonts w:eastAsia="Times New Roman"/>
        </w:rPr>
      </w:r>
    </w:p>
    <w:p>
      <w:pPr>
        <w:numPr>
          <w:ilvl w:val="0"/>
          <w:numId w:val="2"/>
        </w:numPr>
        <w:ind w:left="720" w:hanging="360"/>
        <w:spacing w:after="0" w:line="240" w:lineRule="auto"/>
        <w:rPr>
          <w:rFonts w:eastAsia="Times New Roman"/>
        </w:rPr>
      </w:pPr>
      <w:r>
        <w:rPr>
          <w:rFonts w:eastAsia="Times New Roman"/>
        </w:rPr>
        <w:t>Amaca ve konuya uygun bir araç seçilmelidir.</w:t>
      </w:r>
    </w:p>
    <w:p>
      <w:pPr>
        <w:numPr>
          <w:ilvl w:val="0"/>
          <w:numId w:val="2"/>
        </w:numPr>
        <w:ind w:left="720" w:hanging="360"/>
        <w:spacing w:after="0" w:line="240" w:lineRule="auto"/>
        <w:rPr>
          <w:rFonts w:eastAsia="Times New Roman"/>
        </w:rPr>
      </w:pPr>
      <w:r>
        <w:rPr>
          <w:rFonts w:eastAsia="Times New Roman"/>
        </w:rPr>
        <w:t>Araçlar uygun bir şekilde kullanılmalıdır.</w:t>
      </w:r>
    </w:p>
    <w:p>
      <w:pPr>
        <w:numPr>
          <w:ilvl w:val="0"/>
          <w:numId w:val="2"/>
        </w:numPr>
        <w:ind w:left="720" w:hanging="360"/>
        <w:spacing w:after="0" w:line="240" w:lineRule="auto"/>
        <w:rPr>
          <w:rFonts w:eastAsia="Times New Roman"/>
        </w:rPr>
      </w:pPr>
      <w:r>
        <w:rPr>
          <w:rFonts w:eastAsia="Times New Roman"/>
        </w:rPr>
        <w:t>Araçların çekici olmasına dikkat edilmelidir.</w:t>
      </w:r>
    </w:p>
    <w:p>
      <w:pPr>
        <w:numPr>
          <w:ilvl w:val="0"/>
          <w:numId w:val="2"/>
        </w:numPr>
        <w:ind w:left="720" w:hanging="360"/>
        <w:spacing w:after="0" w:line="240" w:lineRule="auto"/>
        <w:rPr>
          <w:rFonts w:eastAsia="Times New Roman"/>
        </w:rPr>
      </w:pPr>
      <w:r>
        <w:rPr>
          <w:rFonts w:eastAsia="Times New Roman"/>
        </w:rPr>
        <w:t>Araçların öğrenmeye yardımcı olması gerekmektedir.</w:t>
      </w:r>
    </w:p>
    <w:p>
      <w:pPr>
        <w:numPr>
          <w:ilvl w:val="0"/>
          <w:numId w:val="2"/>
        </w:numPr>
        <w:ind w:left="720" w:hanging="360"/>
        <w:spacing w:after="0" w:line="240" w:lineRule="auto"/>
        <w:rPr>
          <w:rFonts w:eastAsia="Times New Roman"/>
        </w:rPr>
      </w:pPr>
      <w:r>
        <w:rPr>
          <w:rFonts w:eastAsia="Times New Roman"/>
        </w:rPr>
        <w:t>Araçlar ayrıca:</w:t>
      </w:r>
    </w:p>
    <w:p>
      <w:pPr>
        <w:numPr>
          <w:ilvl w:val="0"/>
          <w:numId w:val="2"/>
        </w:numPr>
        <w:ind w:left="720" w:hanging="360"/>
        <w:spacing w:after="0" w:line="240" w:lineRule="auto"/>
        <w:rPr>
          <w:rFonts w:eastAsia="Times New Roman"/>
        </w:rPr>
      </w:pPr>
      <w:r>
        <w:rPr>
          <w:rFonts w:eastAsia="Times New Roman"/>
        </w:rPr>
        <w:t>Zaman doldurmak amacıyla</w:t>
      </w:r>
    </w:p>
    <w:p>
      <w:pPr>
        <w:numPr>
          <w:ilvl w:val="0"/>
          <w:numId w:val="2"/>
        </w:numPr>
        <w:ind w:left="720" w:hanging="360"/>
        <w:spacing w:after="0" w:line="240" w:lineRule="auto"/>
        <w:rPr>
          <w:rFonts w:eastAsia="Times New Roman"/>
        </w:rPr>
      </w:pPr>
      <w:r>
        <w:rPr>
          <w:rFonts w:eastAsia="Times New Roman"/>
        </w:rPr>
        <w:t>Eğlenme aracı olarak</w:t>
      </w:r>
    </w:p>
    <w:p>
      <w:pPr>
        <w:numPr>
          <w:ilvl w:val="0"/>
          <w:numId w:val="2"/>
        </w:numPr>
        <w:ind w:left="720" w:hanging="360"/>
        <w:spacing w:after="0" w:line="240" w:lineRule="auto"/>
        <w:rPr>
          <w:rFonts w:eastAsia="Times New Roman"/>
        </w:rPr>
      </w:pPr>
      <w:r>
        <w:rPr>
          <w:rFonts w:eastAsia="Times New Roman"/>
        </w:rPr>
        <w:t>Bireysel ilgilerin tatmini için</w:t>
      </w:r>
    </w:p>
    <w:p>
      <w:pPr>
        <w:numPr>
          <w:ilvl w:val="0"/>
          <w:numId w:val="2"/>
        </w:numPr>
        <w:ind w:left="720" w:hanging="360"/>
        <w:spacing w:after="0" w:line="240" w:lineRule="auto"/>
        <w:rPr>
          <w:rFonts w:eastAsia="Times New Roman"/>
        </w:rPr>
      </w:pPr>
      <w:r>
        <w:rPr>
          <w:rFonts w:eastAsia="Times New Roman"/>
        </w:rPr>
        <w:t>Grubu meşgul etmek için kullanılmamalıdır.</w:t>
      </w:r>
    </w:p>
    <w:p>
      <w:pPr>
        <w:outlineLvl w:val="0"/>
        <w:rPr>
          <w:rFonts w:eastAsia="Times New Roman"/>
        </w:rPr>
      </w:pPr>
      <w:r>
        <w:rPr>
          <w:rFonts w:eastAsia="Times New Roman"/>
          <w:b/>
          <w:bCs/>
        </w:rPr>
        <w:t>Görsel-işitsel Araçların Eğitim Ortamına Katkıları</w:t>
      </w:r>
      <w:r>
        <w:rPr>
          <w:rFonts w:eastAsia="Times New Roman"/>
        </w:rPr>
      </w:r>
    </w:p>
    <w:p>
      <w:pPr>
        <w:numPr>
          <w:ilvl w:val="0"/>
          <w:numId w:val="8"/>
        </w:numPr>
        <w:ind w:left="720" w:hanging="360"/>
        <w:spacing w:after="0" w:line="240" w:lineRule="auto"/>
        <w:rPr>
          <w:rFonts w:eastAsia="Times New Roman"/>
        </w:rPr>
      </w:pPr>
      <w:r>
        <w:rPr>
          <w:rFonts w:eastAsia="Times New Roman"/>
        </w:rPr>
        <w:t>İşitsel araçları önceden kullanmak olanaklıdır.</w:t>
      </w:r>
    </w:p>
    <w:p>
      <w:pPr>
        <w:numPr>
          <w:ilvl w:val="0"/>
          <w:numId w:val="8"/>
        </w:numPr>
        <w:ind w:left="720" w:hanging="360"/>
        <w:spacing w:after="0" w:line="240" w:lineRule="auto"/>
        <w:rPr>
          <w:rFonts w:eastAsia="Times New Roman"/>
        </w:rPr>
      </w:pPr>
      <w:r>
        <w:rPr>
          <w:rFonts w:eastAsia="Times New Roman"/>
        </w:rPr>
        <w:t xml:space="preserve">İşitsel araçlar her derste kullanılabilir. </w:t>
      </w:r>
    </w:p>
    <w:p>
      <w:pPr>
        <w:numPr>
          <w:ilvl w:val="0"/>
          <w:numId w:val="8"/>
        </w:numPr>
        <w:ind w:left="720" w:hanging="360"/>
        <w:spacing w:after="0" w:line="240" w:lineRule="auto"/>
        <w:rPr>
          <w:rFonts w:eastAsia="Times New Roman"/>
        </w:rPr>
      </w:pPr>
      <w:r>
        <w:rPr>
          <w:rFonts w:eastAsia="Times New Roman"/>
        </w:rPr>
        <w:t>İşitsel araçların kullanımı kolaydır.</w:t>
      </w:r>
    </w:p>
    <w:p>
      <w:pPr>
        <w:numPr>
          <w:ilvl w:val="0"/>
          <w:numId w:val="8"/>
        </w:numPr>
        <w:ind w:left="720" w:hanging="360"/>
        <w:spacing w:after="0" w:line="240" w:lineRule="auto"/>
        <w:rPr>
          <w:rFonts w:eastAsia="Times New Roman"/>
        </w:rPr>
      </w:pPr>
      <w:r>
        <w:rPr>
          <w:rFonts w:eastAsia="Times New Roman"/>
        </w:rPr>
        <w:t>Araçlar ucuzdur.</w:t>
      </w:r>
    </w:p>
    <w:p>
      <w:pPr>
        <w:numPr>
          <w:ilvl w:val="0"/>
          <w:numId w:val="8"/>
        </w:numPr>
        <w:ind w:left="720" w:hanging="360"/>
        <w:spacing w:after="0" w:line="240" w:lineRule="auto"/>
        <w:rPr>
          <w:rFonts w:eastAsia="Times New Roman"/>
        </w:rPr>
      </w:pPr>
      <w:r>
        <w:rPr>
          <w:rFonts w:eastAsia="Times New Roman"/>
        </w:rPr>
        <w:t>Kullanımından sonra öğrencileri etkinliklere yöneltir.</w:t>
      </w:r>
    </w:p>
    <w:p>
      <w:pPr>
        <w:numPr>
          <w:ilvl w:val="0"/>
          <w:numId w:val="8"/>
        </w:numPr>
        <w:ind w:left="720" w:hanging="360"/>
        <w:spacing w:after="0" w:line="240" w:lineRule="auto"/>
        <w:rPr>
          <w:rFonts w:eastAsia="Times New Roman"/>
        </w:rPr>
      </w:pPr>
      <w:r>
        <w:rPr>
          <w:rFonts w:eastAsia="Times New Roman"/>
        </w:rPr>
        <w:t>Görsel araçlar sınıf ortamına getirilmesi olanaksız cisim, olgu ve olayları olduğu anda, olduğu gibi gösterir ve duyurur.</w:t>
      </w:r>
    </w:p>
    <w:p>
      <w:pPr>
        <w:numPr>
          <w:ilvl w:val="0"/>
          <w:numId w:val="8"/>
        </w:numPr>
        <w:ind w:left="720" w:hanging="360"/>
        <w:spacing w:after="0" w:line="240" w:lineRule="auto"/>
        <w:rPr>
          <w:rFonts w:eastAsia="Times New Roman"/>
        </w:rPr>
      </w:pPr>
      <w:r>
        <w:rPr>
          <w:rFonts w:eastAsia="Times New Roman"/>
        </w:rPr>
        <w:t>TV ve video heyecan verici ve açıklayıcıdır. Ayrıca ilgi çekici ve sürükleyicidir.</w:t>
      </w:r>
    </w:p>
    <w:p>
      <w:pPr>
        <w:numPr>
          <w:ilvl w:val="0"/>
          <w:numId w:val="8"/>
        </w:numPr>
        <w:ind w:left="720" w:hanging="360"/>
        <w:spacing w:after="0" w:line="240" w:lineRule="auto"/>
        <w:rPr>
          <w:rFonts w:eastAsia="Times New Roman"/>
        </w:rPr>
      </w:pPr>
      <w:r>
        <w:rPr>
          <w:rFonts w:eastAsia="Times New Roman"/>
        </w:rPr>
        <w:t>Öğrenmeyi teşvik edicidir.</w:t>
      </w:r>
    </w:p>
    <w:p>
      <w:pPr>
        <w:numPr>
          <w:ilvl w:val="0"/>
          <w:numId w:val="8"/>
        </w:numPr>
        <w:ind w:left="720" w:hanging="360"/>
        <w:spacing w:after="0" w:line="240" w:lineRule="auto"/>
        <w:rPr>
          <w:rFonts w:eastAsia="Times New Roman"/>
        </w:rPr>
      </w:pPr>
      <w:r>
        <w:rPr>
          <w:rFonts w:eastAsia="Times New Roman"/>
        </w:rPr>
        <w:t>Öğrenci tepkilerini gözleme olanağı verir.</w:t>
      </w:r>
    </w:p>
    <w:p>
      <w:pPr>
        <w:outlineLvl w:val="0"/>
      </w:pPr>
      <w:r>
        <w:rPr>
          <w:rFonts w:eastAsia="Times New Roman"/>
          <w:b/>
          <w:bCs/>
        </w:rPr>
        <w:t>Materyal Seçiminde Kullanılacak Ölçütler</w:t>
      </w:r>
      <w:r/>
    </w:p>
    <w:p>
      <w:pPr>
        <w:outlineLvl w:val="0"/>
        <w:rPr>
          <w:rFonts w:eastAsia="Times New Roman"/>
        </w:rPr>
      </w:pPr>
      <w:r>
        <w:t xml:space="preserve">              </w:t>
      </w:r>
      <w:r>
        <w:rPr>
          <w:rFonts w:eastAsia="Times New Roman"/>
        </w:rPr>
        <w:t>Seçilen materyal öğretim programıyla uyumlu mu?</w:t>
      </w:r>
      <w:r>
        <w:rPr>
          <w:rFonts w:eastAsia="Times New Roman"/>
        </w:rPr>
      </w:r>
    </w:p>
    <w:p>
      <w:pPr>
        <w:numPr>
          <w:ilvl w:val="0"/>
          <w:numId w:val="4"/>
        </w:numPr>
        <w:ind w:left="720" w:hanging="360"/>
        <w:spacing w:after="0" w:line="240" w:lineRule="auto"/>
        <w:rPr>
          <w:rFonts w:eastAsia="Times New Roman"/>
        </w:rPr>
      </w:pPr>
      <w:r>
        <w:rPr>
          <w:rFonts w:eastAsia="Times New Roman"/>
        </w:rPr>
        <w:t>Materyalin içerdiği mesajlar doğru ve güncel mi?</w:t>
      </w:r>
    </w:p>
    <w:p>
      <w:pPr>
        <w:numPr>
          <w:ilvl w:val="0"/>
          <w:numId w:val="4"/>
        </w:numPr>
        <w:ind w:left="720" w:hanging="360"/>
        <w:spacing w:after="0" w:line="240" w:lineRule="auto"/>
        <w:rPr>
          <w:rFonts w:eastAsia="Times New Roman"/>
        </w:rPr>
      </w:pPr>
      <w:r>
        <w:rPr>
          <w:rFonts w:eastAsia="Times New Roman"/>
        </w:rPr>
        <w:t>Materyalde açık ve anlaşılır bir dil kullanılmış mı?</w:t>
      </w:r>
    </w:p>
    <w:p>
      <w:pPr>
        <w:numPr>
          <w:ilvl w:val="0"/>
          <w:numId w:val="4"/>
        </w:numPr>
        <w:ind w:left="720" w:hanging="360"/>
        <w:spacing w:after="0" w:line="240" w:lineRule="auto"/>
        <w:rPr>
          <w:rFonts w:eastAsia="Times New Roman"/>
        </w:rPr>
      </w:pPr>
      <w:r>
        <w:rPr>
          <w:rFonts w:eastAsia="Times New Roman"/>
        </w:rPr>
        <w:t>Materyal öğrenciyi güdüleyici</w:t>
      </w:r>
      <w:r>
        <w:rPr>
          <w:rFonts w:eastAsia="Times New Roman"/>
        </w:rPr>
        <w:t xml:space="preserve"> ve ilgiyi sürekli tutacak özelliklere sahip mi?</w:t>
      </w:r>
      <w:r>
        <w:rPr>
          <w:rFonts w:eastAsia="Times New Roman"/>
        </w:rPr>
      </w:r>
    </w:p>
    <w:p>
      <w:pPr>
        <w:numPr>
          <w:ilvl w:val="0"/>
          <w:numId w:val="4"/>
        </w:numPr>
        <w:ind w:left="720" w:hanging="360"/>
        <w:spacing w:after="0" w:line="240" w:lineRule="auto"/>
        <w:rPr>
          <w:rFonts w:eastAsia="Times New Roman"/>
        </w:rPr>
      </w:pPr>
      <w:r>
        <w:rPr>
          <w:rFonts w:eastAsia="Times New Roman"/>
        </w:rPr>
        <w:t>Materyal öğrencinin katılımını sağlayıcı özelliklere sahip mi?</w:t>
      </w:r>
    </w:p>
    <w:p>
      <w:pPr>
        <w:numPr>
          <w:ilvl w:val="0"/>
          <w:numId w:val="4"/>
        </w:numPr>
        <w:ind w:left="720" w:hanging="360"/>
        <w:spacing w:after="0" w:line="240" w:lineRule="auto"/>
        <w:rPr>
          <w:rFonts w:eastAsia="Times New Roman"/>
        </w:rPr>
      </w:pPr>
      <w:r>
        <w:rPr>
          <w:rFonts w:eastAsia="Times New Roman"/>
        </w:rPr>
        <w:t>Materyal, teknik özellikleri açısından yeterli mi?</w:t>
      </w:r>
    </w:p>
    <w:p>
      <w:pPr>
        <w:numPr>
          <w:ilvl w:val="0"/>
          <w:numId w:val="4"/>
        </w:numPr>
        <w:ind w:left="720" w:hanging="360"/>
        <w:spacing w:after="0" w:line="240" w:lineRule="auto"/>
        <w:rPr>
          <w:rFonts w:eastAsia="Times New Roman"/>
        </w:rPr>
      </w:pPr>
      <w:r>
        <w:rPr>
          <w:rFonts w:eastAsia="Times New Roman"/>
        </w:rPr>
        <w:t>Materyalin etkili olduğunu kanıtlayacak veriler var mı?</w:t>
      </w:r>
    </w:p>
    <w:p>
      <w:pPr>
        <w:numPr>
          <w:ilvl w:val="0"/>
          <w:numId w:val="4"/>
        </w:numPr>
        <w:ind w:left="720" w:hanging="360"/>
        <w:spacing w:after="0" w:line="240" w:lineRule="auto"/>
        <w:rPr>
          <w:rFonts w:eastAsia="Times New Roman"/>
        </w:rPr>
      </w:pPr>
      <w:r>
        <w:rPr>
          <w:rFonts w:eastAsia="Times New Roman"/>
        </w:rPr>
        <w:t>Materyal, önyargılardan arındırılmış bir yapıda mı?</w:t>
      </w:r>
    </w:p>
    <w:p>
      <w:pPr>
        <w:numPr>
          <w:ilvl w:val="0"/>
          <w:numId w:val="4"/>
        </w:numPr>
        <w:ind w:left="720" w:hanging="360"/>
        <w:spacing w:after="0" w:line="240" w:lineRule="auto"/>
        <w:rPr>
          <w:rFonts w:eastAsia="Times New Roman"/>
        </w:rPr>
      </w:pPr>
      <w:r>
        <w:rPr>
          <w:rFonts w:eastAsia="Times New Roman"/>
        </w:rPr>
        <w:t>Materyalin kullanımına ilişkin gerekli kullanma kılavuzları ve diğer metinler mevcut mu?</w:t>
      </w:r>
    </w:p>
    <w:p>
      <w:pPr>
        <w:rPr>
          <w:rFonts w:eastAsia="Times New Roman"/>
          <w:b/>
          <w:sz w:val="28"/>
          <w:szCs w:val="28"/>
        </w:rPr>
      </w:pPr>
      <w:r>
        <w:rPr>
          <w:rFonts w:eastAsia="Times New Roman"/>
          <w:b/>
          <w:sz w:val="28"/>
          <w:szCs w:val="28"/>
        </w:rPr>
        <w:t xml:space="preserve">  Öğretim Materyalleri İle İlgili Karşılaşılan Sorunlar:</w:t>
      </w:r>
      <w:r>
        <w:rPr>
          <w:rFonts w:eastAsia="Times New Roman"/>
          <w:b/>
          <w:sz w:val="28"/>
          <w:szCs w:val="28"/>
        </w:rPr>
      </w:r>
    </w:p>
    <w:p>
      <w:pPr>
        <w:rPr>
          <w:rFonts w:eastAsia="Times New Roman"/>
        </w:rPr>
      </w:pPr>
      <w:r>
        <w:rPr>
          <w:rFonts w:eastAsia="Times New Roman"/>
        </w:rPr>
      </w:r>
    </w:p>
    <w:p>
      <w:pPr>
        <w:numPr>
          <w:ilvl w:val="0"/>
          <w:numId w:val="7"/>
        </w:numPr>
        <w:ind w:left="720" w:hanging="360"/>
        <w:spacing w:after="0" w:line="240" w:lineRule="auto"/>
        <w:rPr>
          <w:rFonts w:eastAsia="Times New Roman"/>
        </w:rPr>
      </w:pPr>
      <w:r>
        <w:rPr>
          <w:rFonts w:eastAsia="Times New Roman"/>
        </w:rPr>
        <w:t xml:space="preserve">Okullarda günün şartlarına ve derslere uygun yeterli araç ve gerecin </w:t>
      </w:r>
      <w:r>
        <w:rPr>
          <w:rFonts w:eastAsia="Times New Roman"/>
        </w:rPr>
        <w:t>bulunmaması</w:t>
      </w:r>
      <w:r>
        <w:rPr>
          <w:rFonts w:eastAsia="Times New Roman"/>
        </w:rPr>
      </w:r>
    </w:p>
    <w:p>
      <w:pPr>
        <w:numPr>
          <w:ilvl w:val="0"/>
          <w:numId w:val="7"/>
        </w:numPr>
        <w:ind w:left="720" w:hanging="360"/>
        <w:spacing w:after="0" w:line="240" w:lineRule="auto"/>
        <w:rPr>
          <w:rFonts w:eastAsia="Times New Roman"/>
        </w:rPr>
      </w:pPr>
      <w:r>
        <w:rPr>
          <w:rFonts w:eastAsia="Times New Roman"/>
        </w:rPr>
        <w:t xml:space="preserve">Okullarda bulunan laboratuar, kütüphane, bilgisayar </w:t>
      </w:r>
      <w:r>
        <w:t>sınıfı ve</w:t>
      </w:r>
      <w:r>
        <w:rPr>
          <w:rFonts w:eastAsia="Times New Roman"/>
        </w:rPr>
        <w:t xml:space="preserve"> okul bahçesinin kullanımının düzensiz olması.</w:t>
      </w:r>
      <w:r>
        <w:rPr>
          <w:rFonts w:eastAsia="Times New Roman"/>
        </w:rPr>
      </w:r>
    </w:p>
    <w:p>
      <w:pPr>
        <w:numPr>
          <w:ilvl w:val="0"/>
          <w:numId w:val="7"/>
        </w:numPr>
        <w:ind w:left="720" w:hanging="360"/>
        <w:spacing w:after="0" w:line="240" w:lineRule="auto"/>
        <w:rPr>
          <w:rFonts w:eastAsia="Times New Roman"/>
        </w:rPr>
      </w:pPr>
      <w:r>
        <w:t xml:space="preserve"> </w:t>
      </w:r>
      <w:r>
        <w:rPr>
          <w:rFonts w:eastAsia="Times New Roman"/>
        </w:rPr>
        <w:t xml:space="preserve">Ders işlenişlerinde etkinliğe ait ders </w:t>
      </w:r>
      <w:r>
        <w:t>materyallerinin yeterli</w:t>
      </w:r>
      <w:r>
        <w:rPr>
          <w:rFonts w:eastAsia="Times New Roman"/>
        </w:rPr>
        <w:t xml:space="preserve"> olmaması.</w:t>
      </w:r>
      <w:r>
        <w:rPr>
          <w:rFonts w:eastAsia="Times New Roman"/>
        </w:rPr>
      </w:r>
    </w:p>
    <w:p>
      <w:pPr>
        <w:rPr>
          <w:rFonts w:eastAsia="Times New Roman"/>
        </w:rPr>
      </w:pPr>
      <w:r>
        <w:rPr>
          <w:rFonts w:eastAsia="Times New Roman"/>
        </w:rPr>
        <w:t xml:space="preserve">    </w:t>
      </w:r>
      <w:r>
        <w:t xml:space="preserve">  </w:t>
      </w:r>
      <w:r>
        <w:rPr>
          <w:rFonts w:eastAsia="Times New Roman"/>
        </w:rPr>
        <w:t xml:space="preserve">  d)   Öğretim materyalleri </w:t>
      </w:r>
      <w:r>
        <w:t>ile öğrencilerin</w:t>
      </w:r>
      <w:r>
        <w:rPr>
          <w:rFonts w:eastAsia="Times New Roman"/>
        </w:rPr>
        <w:t xml:space="preserve"> duyu organları arasında etkileşimin olmaması.</w:t>
      </w:r>
      <w:r>
        <w:rPr>
          <w:rFonts w:eastAsia="Times New Roman"/>
        </w:rPr>
      </w:r>
    </w:p>
    <w:p>
      <w:pPr>
        <w:spacing/>
        <w:jc w:val="center"/>
        <w:rPr>
          <w:rFonts w:eastAsia="Times New Roman"/>
          <w:b/>
          <w:sz w:val="28"/>
          <w:szCs w:val="28"/>
        </w:rPr>
      </w:pPr>
      <w:r>
        <w:rPr>
          <w:rFonts w:eastAsia="Times New Roman"/>
          <w:b/>
          <w:sz w:val="28"/>
          <w:szCs w:val="28"/>
        </w:rPr>
      </w:r>
    </w:p>
    <w:p>
      <w:pPr>
        <w:rPr>
          <w:rFonts w:eastAsia="Times New Roman"/>
          <w:b/>
          <w:sz w:val="28"/>
          <w:szCs w:val="28"/>
        </w:rPr>
      </w:pPr>
      <w:r>
        <w:rPr>
          <w:rFonts w:eastAsia="Times New Roman"/>
          <w:b/>
          <w:sz w:val="28"/>
          <w:szCs w:val="28"/>
        </w:rPr>
        <w:t xml:space="preserve"> </w:t>
      </w:r>
      <w:r>
        <w:rPr>
          <w:rFonts w:eastAsia="Times New Roman"/>
          <w:b/>
          <w:sz w:val="28"/>
          <w:szCs w:val="28"/>
        </w:rPr>
        <w:t xml:space="preserve">Öğretim Materyalleri </w:t>
      </w:r>
      <w:r>
        <w:rPr>
          <w:rFonts w:eastAsia="Times New Roman"/>
          <w:b/>
          <w:sz w:val="28"/>
          <w:szCs w:val="28"/>
        </w:rPr>
        <w:t>İle İlgili</w:t>
      </w:r>
      <w:r>
        <w:rPr>
          <w:rFonts w:eastAsia="Times New Roman"/>
          <w:b/>
          <w:sz w:val="28"/>
          <w:szCs w:val="28"/>
        </w:rPr>
        <w:t xml:space="preserve"> Karşılaşılan </w:t>
      </w:r>
      <w:r>
        <w:rPr>
          <w:rFonts w:eastAsia="Times New Roman"/>
          <w:b/>
          <w:sz w:val="28"/>
          <w:szCs w:val="28"/>
        </w:rPr>
        <w:t>Sorunlara Çözüm</w:t>
      </w:r>
      <w:r>
        <w:rPr>
          <w:rFonts w:eastAsia="Times New Roman"/>
          <w:b/>
          <w:sz w:val="28"/>
          <w:szCs w:val="28"/>
        </w:rPr>
        <w:t xml:space="preserve"> </w:t>
      </w:r>
      <w:r>
        <w:rPr>
          <w:rFonts w:eastAsia="Times New Roman"/>
          <w:b/>
          <w:sz w:val="28"/>
          <w:szCs w:val="28"/>
        </w:rPr>
        <w:t>Önerileri:</w:t>
      </w:r>
      <w:r>
        <w:rPr>
          <w:rFonts w:eastAsia="Times New Roman"/>
          <w:b/>
          <w:sz w:val="28"/>
          <w:szCs w:val="28"/>
        </w:rPr>
      </w:r>
    </w:p>
    <w:p>
      <w:pPr>
        <w:rPr>
          <w:rFonts w:eastAsia="Times New Roman"/>
        </w:rPr>
      </w:pPr>
      <w:r>
        <w:rPr>
          <w:rFonts w:eastAsia="Times New Roman"/>
        </w:rPr>
      </w:r>
    </w:p>
    <w:p>
      <w:pPr>
        <w:numPr>
          <w:ilvl w:val="0"/>
          <w:numId w:val="5"/>
        </w:numPr>
        <w:ind w:left="420" w:hanging="360"/>
        <w:spacing w:after="0" w:line="240" w:lineRule="auto"/>
        <w:rPr>
          <w:rFonts w:eastAsia="Times New Roman"/>
        </w:rPr>
      </w:pPr>
      <w:r>
        <w:rPr>
          <w:rFonts w:eastAsia="Times New Roman"/>
        </w:rPr>
        <w:t>Okullarda ortak kullanıma açık araç-gereç odasının oluşturulması, anahtarının her öğretmende bulunması.</w:t>
      </w:r>
      <w:r>
        <w:rPr>
          <w:rFonts w:eastAsia="Times New Roman"/>
        </w:rPr>
      </w:r>
    </w:p>
    <w:p>
      <w:pPr>
        <w:numPr>
          <w:ilvl w:val="0"/>
          <w:numId w:val="5"/>
        </w:numPr>
        <w:ind w:left="420" w:hanging="360"/>
        <w:spacing w:after="0" w:line="240" w:lineRule="auto"/>
        <w:rPr>
          <w:rFonts w:eastAsia="Times New Roman"/>
        </w:rPr>
      </w:pPr>
      <w:r>
        <w:rPr>
          <w:rFonts w:eastAsia="Times New Roman"/>
        </w:rPr>
        <w:t xml:space="preserve">Okullarda bulunan laboratuar, kütüphane, bilgisayar </w:t>
      </w:r>
      <w:r>
        <w:t>sınıfı ve</w:t>
      </w:r>
      <w:r>
        <w:rPr>
          <w:rFonts w:eastAsia="Times New Roman"/>
        </w:rPr>
        <w:t xml:space="preserve"> okul bahçesinin </w:t>
      </w:r>
      <w:r>
        <w:t>kullanımının ders</w:t>
      </w:r>
      <w:r>
        <w:rPr>
          <w:rFonts w:eastAsia="Times New Roman"/>
        </w:rPr>
        <w:t xml:space="preserve"> programlarına göre </w:t>
      </w:r>
      <w:r>
        <w:t>planlanıp takvimin</w:t>
      </w:r>
      <w:r>
        <w:rPr>
          <w:rFonts w:eastAsia="Times New Roman"/>
        </w:rPr>
        <w:t xml:space="preserve"> öğretmenler odasında duyurulup okul panosuna asılması.</w:t>
      </w:r>
      <w:r>
        <w:rPr>
          <w:rFonts w:eastAsia="Times New Roman"/>
        </w:rPr>
      </w:r>
    </w:p>
    <w:p>
      <w:pPr>
        <w:numPr>
          <w:ilvl w:val="0"/>
          <w:numId w:val="5"/>
        </w:numPr>
        <w:ind w:left="420" w:hanging="360"/>
        <w:spacing w:after="0" w:line="240" w:lineRule="auto"/>
      </w:pPr>
      <w:r>
        <w:rPr>
          <w:rFonts w:eastAsia="Times New Roman"/>
        </w:rPr>
        <w:t xml:space="preserve">Etkinliğe ait materyallerin sınıf bilgisayar ve yazıcılarından internet ortamında sağlandığından; sınıflardaki internet </w:t>
      </w:r>
      <w:r>
        <w:t>bağlantısı, yansıtım</w:t>
      </w:r>
      <w:r>
        <w:rPr>
          <w:rFonts w:eastAsia="Times New Roman"/>
        </w:rPr>
        <w:t xml:space="preserve">,   bilgisayar ve yazıcıların çalışır durumda </w:t>
      </w:r>
      <w:r>
        <w:t>öğretmenlere teslim edilmesi, gerektiğini belirtti zümre öğretmenlerimiz bu sunuma katıldılar.</w:t>
      </w:r>
    </w:p>
    <w:p>
      <w:pPr>
        <w:spacing w:after="0" w:line="240" w:lineRule="auto"/>
      </w:pPr>
      <w:r/>
    </w:p>
    <w:p>
      <w:pPr>
        <w:pStyle w:val="para1"/>
        <w:numPr>
          <w:ilvl w:val="0"/>
          <w:numId w:val="3"/>
        </w:numPr>
        <w:ind w:left="720" w:hanging="360"/>
        <w:spacing w:after="160" w:line="360" w:lineRule="auto"/>
        <w:rPr>
          <w:rFonts w:eastAsia="Times New Roman"/>
        </w:rPr>
      </w:pPr>
      <w:r>
        <w:rPr>
          <w:rFonts w:eastAsia="Times New Roman"/>
        </w:rPr>
        <w:t xml:space="preserve">Söz alan 1/F sınıf öğretmenimiz Fatma TARHAN;  uzaktan eğitim süreci içerisinde olduğumuz için sınıf yönetimi kavramının, video konferans canlı ders yönetme kavramına </w:t>
      </w:r>
      <w:r>
        <w:rPr>
          <w:rFonts w:eastAsia="Times New Roman"/>
        </w:rPr>
        <w:t>dönüştüğünü, derslerimizin</w:t>
      </w:r>
      <w:r>
        <w:rPr>
          <w:rFonts w:eastAsia="Times New Roman"/>
        </w:rPr>
        <w:t xml:space="preserve"> işleniş süreçlerinde öğrencilerimizin ve ailelerimizin bu durumu çok ciddiye aldıkları ve ellerinde ki bütün </w:t>
      </w:r>
      <w:r>
        <w:rPr>
          <w:rFonts w:eastAsia="Times New Roman"/>
        </w:rPr>
        <w:t>imkânları</w:t>
      </w:r>
      <w:r>
        <w:rPr>
          <w:rFonts w:eastAsia="Times New Roman"/>
        </w:rPr>
        <w:t xml:space="preserve"> kullanarak destek verdiklerini, öğretmen-öğrenci-veli üçgeninin sağlam bir şekilde kurulduğunu çok önemli sorunların kesinlikle oluşmadığını belirtti. Zümre öğretmenlerimiz bu değerlendirmeye katıldıklarını belirttiler. Söz alan 1/G sınıf öğretmenimiz İbrahim KARAÇİZMELİ; </w:t>
      </w:r>
      <w:r>
        <w:rPr>
          <w:rFonts w:eastAsia="Times New Roman"/>
        </w:rPr>
        <w:t xml:space="preserve"> canlı derslerin öğrencilerimizin yeterince ilgisini çektiğini, bu mobil paylaşımlar yaparak daha da ilgi çekici hale geldiğini belirtti. Yüz yüze eğitimde olduğu gibi uzaktan canlı dersler aracılığ</w:t>
      </w:r>
      <w:r>
        <w:rPr>
          <w:rFonts w:eastAsia="Times New Roman"/>
        </w:rPr>
        <w:t>ıyla</w:t>
      </w:r>
      <w:r>
        <w:rPr>
          <w:rFonts w:eastAsia="Times New Roman"/>
        </w:rPr>
        <w:t xml:space="preserve"> </w:t>
      </w:r>
      <w:r>
        <w:rPr>
          <w:rFonts w:eastAsia="Times New Roman"/>
        </w:rPr>
        <w:t>ölçme ve değ</w:t>
      </w:r>
      <w:r>
        <w:rPr>
          <w:rFonts w:eastAsia="Times New Roman"/>
        </w:rPr>
        <w:t>erlendirmelerin sınıf bazında yapıldığına inandığını bunu bütün zümre öğretmenlerimizin kendi sınıflarında uyguladıklarına inandığını söyledi ve zümre</w:t>
      </w:r>
      <w:r>
        <w:rPr>
          <w:rFonts w:eastAsia="Times New Roman"/>
        </w:rPr>
        <w:t xml:space="preserve"> öğretmenlerimiz bu görüşe katı</w:t>
      </w:r>
      <w:r>
        <w:rPr>
          <w:rFonts w:eastAsia="Times New Roman"/>
        </w:rPr>
        <w:t>ldıklarını belirttiler.</w:t>
      </w:r>
      <w:r>
        <w:rPr>
          <w:rFonts w:eastAsia="Times New Roman"/>
        </w:rPr>
      </w:r>
    </w:p>
    <w:p>
      <w:pPr>
        <w:pStyle w:val="para1"/>
        <w:numPr>
          <w:ilvl w:val="0"/>
          <w:numId w:val="3"/>
        </w:numPr>
        <w:ind w:left="720" w:hanging="360"/>
        <w:spacing w:after="160" w:line="360" w:lineRule="auto"/>
        <w:rPr>
          <w:rFonts w:eastAsia="Times New Roman"/>
        </w:rPr>
      </w:pPr>
      <w:r>
        <w:rPr>
          <w:rFonts w:eastAsia="Times New Roman"/>
        </w:rPr>
        <w:t>Söz alan 1/H sınıf öğretmenimiz Sinan ÇİÇEKCİ; derslerin özelliklerine göre kullanılabilecek ölçme ve değerlendirme kriterleri ve tekniklerinin, 3.maddesinde ayrıntılı olarak değerlendirildiğini belirtti ve zümre öğretmenlerimiz bu görüşe katıldılar.</w:t>
      </w:r>
      <w:r>
        <w:rPr>
          <w:rFonts w:eastAsia="Times New Roman"/>
        </w:rPr>
      </w:r>
    </w:p>
    <w:p>
      <w:pPr>
        <w:pStyle w:val="para1"/>
        <w:numPr>
          <w:ilvl w:val="0"/>
          <w:numId w:val="3"/>
        </w:numPr>
        <w:ind w:left="720" w:hanging="360"/>
        <w:spacing w:after="160" w:line="360" w:lineRule="auto"/>
        <w:rPr>
          <w:rFonts w:eastAsia="Times New Roman"/>
        </w:rPr>
      </w:pPr>
      <w:r>
        <w:rPr>
          <w:rFonts w:eastAsia="Times New Roman"/>
        </w:rPr>
        <w:t>Söz alan 1/K sınıf öğretmenimiz Sevda ÖZDEMİR; bir sunumu olduğunu ve bu sunumunu bizimle paylaşacağını söyledi. Sevda ÖZDEMİR öğretmenimizin sunumu:</w:t>
      </w:r>
      <w:r>
        <w:rPr>
          <w:rFonts w:eastAsia="Times New Roman"/>
        </w:rPr>
      </w:r>
    </w:p>
    <w:p>
      <w:pPr>
        <w:pStyle w:val="para1"/>
        <w:rPr>
          <w:rFonts w:ascii="Bookman Old Style" w:hAnsi="Bookman Old Style"/>
          <w:b/>
          <w:sz w:val="24"/>
          <w:szCs w:val="24"/>
        </w:rPr>
      </w:pPr>
      <w:r>
        <w:rPr>
          <w:rFonts w:ascii="Bookman Old Style" w:hAnsi="Bookman Old Style"/>
          <w:b/>
          <w:sz w:val="24"/>
          <w:szCs w:val="24"/>
        </w:rPr>
      </w:r>
    </w:p>
    <w:p>
      <w:pPr>
        <w:pStyle w:val="para1"/>
        <w:rPr>
          <w:rFonts w:ascii="Bookman Old Style" w:hAnsi="Bookman Old Style"/>
          <w:b/>
          <w:sz w:val="24"/>
          <w:szCs w:val="24"/>
        </w:rPr>
      </w:pPr>
      <w:r>
        <w:rPr>
          <w:rFonts w:ascii="Bookman Old Style" w:hAnsi="Bookman Old Style"/>
          <w:b/>
          <w:sz w:val="24"/>
          <w:szCs w:val="24"/>
        </w:rPr>
        <w:t>MESLEKİ GELİŞİM,</w:t>
      </w:r>
      <w:r>
        <w:rPr>
          <w:rFonts w:ascii="Bookman Old Style" w:hAnsi="Bookman Old Style"/>
          <w:b/>
          <w:sz w:val="24"/>
          <w:szCs w:val="24"/>
        </w:rPr>
      </w:r>
    </w:p>
    <w:p>
      <w:pPr>
        <w:pStyle w:val="para2"/>
        <w:ind w:left="360"/>
        <w:rPr>
          <w:rFonts w:ascii="Bookman Old Style" w:hAnsi="Bookman Old Style"/>
          <w:sz w:val="24"/>
          <w:szCs w:val="24"/>
        </w:rPr>
      </w:pPr>
      <w:r>
        <w:rPr>
          <w:rFonts w:ascii="Bookman Old Style" w:hAnsi="Bookman Old Style"/>
          <w:sz w:val="24"/>
          <w:szCs w:val="24"/>
        </w:rPr>
        <w:t xml:space="preserve">       Mesleğimiz,  </w:t>
      </w:r>
      <w:r>
        <w:rPr>
          <w:rFonts w:ascii="Bookman Old Style" w:hAnsi="Bookman Old Style"/>
          <w:sz w:val="24"/>
          <w:szCs w:val="24"/>
        </w:rPr>
        <w:t xml:space="preserve">alan bilgimizin yanı sıra </w:t>
      </w:r>
      <w:r>
        <w:rPr>
          <w:rFonts w:ascii="Bookman Old Style" w:hAnsi="Bookman Old Style"/>
          <w:sz w:val="24"/>
          <w:szCs w:val="24"/>
        </w:rPr>
        <w:t>eğitim  ve  öğrenme  alanındaki  gelişmeler,  öğretim  yöntem  ve  teknikleri,  bilim  ve </w:t>
      </w:r>
      <w:r>
        <w:rPr>
          <w:rFonts w:ascii="Bookman Old Style" w:hAnsi="Bookman Old Style"/>
          <w:sz w:val="24"/>
          <w:szCs w:val="24"/>
        </w:rPr>
        <w:t xml:space="preserve"> teknolojideki  gelişmeler, </w:t>
      </w:r>
      <w:r>
        <w:rPr>
          <w:rFonts w:ascii="Bookman Old Style" w:hAnsi="Bookman Old Style"/>
          <w:sz w:val="24"/>
          <w:szCs w:val="24"/>
        </w:rPr>
        <w:t>güncel  yaşamdaki  değişim  ve  yenilikleri  sürekli takip  etmeyi  ve  bunl</w:t>
      </w:r>
      <w:r>
        <w:rPr>
          <w:rFonts w:ascii="Bookman Old Style" w:hAnsi="Bookman Old Style"/>
          <w:sz w:val="24"/>
          <w:szCs w:val="24"/>
        </w:rPr>
        <w:t>ardan  edinilen  bilgi,  beceri,  deneyim  ve  anlayışları  sınıf</w:t>
      </w:r>
      <w:r>
        <w:rPr>
          <w:rFonts w:ascii="Bookman Old Style" w:hAnsi="Bookman Old Style"/>
          <w:sz w:val="24"/>
          <w:szCs w:val="24"/>
        </w:rPr>
        <w:t>ımızdaki</w:t>
      </w:r>
      <w:r>
        <w:rPr>
          <w:rFonts w:ascii="Bookman Old Style" w:hAnsi="Bookman Old Style"/>
          <w:sz w:val="24"/>
          <w:szCs w:val="24"/>
        </w:rPr>
        <w:t>  öğretim süreçlerine yansıtmayı gerektirir. </w:t>
      </w:r>
      <w:r>
        <w:rPr>
          <w:rFonts w:ascii="Bookman Old Style" w:hAnsi="Bookman Old Style"/>
          <w:sz w:val="24"/>
          <w:szCs w:val="24"/>
        </w:rPr>
      </w:r>
    </w:p>
    <w:p>
      <w:pPr>
        <w:pStyle w:val="para2"/>
        <w:ind w:left="360"/>
        <w:rPr>
          <w:rFonts w:ascii="Bookman Old Style" w:hAnsi="Bookman Old Style"/>
          <w:sz w:val="24"/>
          <w:szCs w:val="24"/>
        </w:rPr>
      </w:pPr>
      <w:r>
        <w:rPr>
          <w:rFonts w:ascii="Bookman Old Style" w:hAnsi="Bookman Old Style"/>
          <w:sz w:val="24"/>
          <w:szCs w:val="24"/>
        </w:rPr>
        <w:t xml:space="preserve">     Mesleki </w:t>
      </w:r>
      <w:r>
        <w:rPr>
          <w:rFonts w:ascii="Bookman Old Style" w:hAnsi="Bookman Old Style"/>
          <w:sz w:val="24"/>
          <w:szCs w:val="24"/>
        </w:rPr>
        <w:t>gelişim,  sistema</w:t>
      </w:r>
      <w:r>
        <w:rPr>
          <w:rFonts w:ascii="Bookman Old Style" w:hAnsi="Bookman Old Style"/>
          <w:sz w:val="24"/>
          <w:szCs w:val="24"/>
        </w:rPr>
        <w:t>tik  olarak,  biz öğretmenlere deneyimlerimizi  artırma ve </w:t>
      </w:r>
      <w:r>
        <w:rPr>
          <w:rFonts w:ascii="Bookman Old Style" w:hAnsi="Bookman Old Style"/>
          <w:sz w:val="24"/>
          <w:szCs w:val="24"/>
        </w:rPr>
        <w:t>mesleki  kariyerlerimizi  inceleme  fırsatı  kazandırır.</w:t>
      </w:r>
      <w:r>
        <w:rPr>
          <w:rFonts w:ascii="Bookman Old Style" w:hAnsi="Bookman Old Style"/>
          <w:sz w:val="24"/>
          <w:szCs w:val="24"/>
        </w:rPr>
      </w:r>
    </w:p>
    <w:p>
      <w:pPr>
        <w:pStyle w:val="para2"/>
        <w:ind w:left="720"/>
        <w:rPr>
          <w:rFonts w:ascii="Bookman Old Style" w:hAnsi="Bookman Old Style"/>
          <w:sz w:val="24"/>
          <w:szCs w:val="24"/>
        </w:rPr>
      </w:pPr>
      <w:r>
        <w:rPr>
          <w:rFonts w:ascii="Bookman Old Style" w:hAnsi="Bookman Old Style"/>
          <w:sz w:val="24"/>
          <w:szCs w:val="24"/>
        </w:rPr>
        <w:t xml:space="preserve">Mesleki  gelişim,  </w:t>
      </w:r>
      <w:r>
        <w:rPr>
          <w:rFonts w:ascii="Bookman Old Style" w:hAnsi="Bookman Old Style"/>
          <w:sz w:val="24"/>
          <w:szCs w:val="24"/>
        </w:rPr>
        <w:t>formal</w:t>
      </w:r>
      <w:r>
        <w:rPr>
          <w:rFonts w:ascii="Bookman Old Style" w:hAnsi="Bookman Old Style"/>
          <w:sz w:val="24"/>
          <w:szCs w:val="24"/>
        </w:rPr>
        <w:t xml:space="preserve"> ve </w:t>
      </w:r>
      <w:r>
        <w:rPr>
          <w:rFonts w:ascii="Bookman Old Style" w:hAnsi="Bookman Old Style"/>
          <w:sz w:val="24"/>
          <w:szCs w:val="24"/>
        </w:rPr>
        <w:t>informal</w:t>
      </w:r>
      <w:r>
        <w:rPr>
          <w:rFonts w:ascii="Bookman Old Style" w:hAnsi="Bookman Old Style"/>
          <w:sz w:val="24"/>
          <w:szCs w:val="24"/>
        </w:rPr>
        <w:t xml:space="preserve">  deneyimleri kapsar. </w:t>
      </w:r>
      <w:r>
        <w:rPr>
          <w:rFonts w:ascii="Bookman Old Style" w:hAnsi="Bookman Old Style"/>
          <w:sz w:val="24"/>
          <w:szCs w:val="24"/>
        </w:rPr>
        <w:t>Formal</w:t>
      </w:r>
      <w:r>
        <w:rPr>
          <w:rFonts w:ascii="Bookman Old Style" w:hAnsi="Bookman Old Style"/>
          <w:sz w:val="24"/>
          <w:szCs w:val="24"/>
        </w:rPr>
        <w:t> </w:t>
      </w:r>
      <w:r>
        <w:rPr>
          <w:rFonts w:ascii="Bookman Old Style" w:hAnsi="Bookman Old Style"/>
          <w:sz w:val="24"/>
          <w:szCs w:val="24"/>
        </w:rPr>
        <w:t>deneyimler,seminerler</w:t>
      </w:r>
      <w:r>
        <w:rPr>
          <w:rFonts w:ascii="Bookman Old Style" w:hAnsi="Bookman Old Style"/>
          <w:sz w:val="24"/>
          <w:szCs w:val="24"/>
        </w:rPr>
        <w:t>,  mesleki  toplantılar  ve </w:t>
      </w:r>
      <w:r>
        <w:rPr>
          <w:rFonts w:ascii="Bookman Old Style" w:hAnsi="Bookman Old Style"/>
          <w:sz w:val="24"/>
          <w:szCs w:val="24"/>
        </w:rPr>
        <w:t>çalıştaylardır</w:t>
      </w:r>
      <w:r>
        <w:rPr>
          <w:rFonts w:ascii="Bookman Old Style" w:hAnsi="Bookman Old Style"/>
          <w:sz w:val="24"/>
          <w:szCs w:val="24"/>
        </w:rPr>
      </w:r>
    </w:p>
    <w:p>
      <w:pPr>
        <w:pStyle w:val="para2"/>
        <w:ind w:left="360"/>
        <w:rPr>
          <w:rFonts w:ascii="Bookman Old Style" w:hAnsi="Bookman Old Style"/>
          <w:sz w:val="24"/>
          <w:szCs w:val="24"/>
        </w:rPr>
      </w:pPr>
      <w:r>
        <w:rPr>
          <w:rFonts w:ascii="Bookman Old Style" w:hAnsi="Bookman Old Style"/>
          <w:sz w:val="24"/>
          <w:szCs w:val="24"/>
        </w:rPr>
        <w:t>(</w:t>
      </w:r>
      <w:r>
        <w:rPr>
          <w:rFonts w:ascii="Bookman Old Style" w:hAnsi="Bookman Old Style"/>
          <w:sz w:val="24"/>
          <w:szCs w:val="24"/>
        </w:rPr>
        <w:t>workshop</w:t>
      </w:r>
      <w:r>
        <w:rPr>
          <w:rFonts w:ascii="Bookman Old Style" w:hAnsi="Bookman Old Style"/>
          <w:sz w:val="24"/>
          <w:szCs w:val="24"/>
        </w:rPr>
        <w:t xml:space="preserve">). İnformal yaşantılar ise bir akademik disiplinle ilgili TV belgeselleri izleme, mesleki  yayınları  okuma, sportif ve kültürel faaliyetlerde bulunma ve becerileri geliştirmek amaçlı sanat atölyelerinden faydalanma gibi  etkinlikleri  içerir. </w:t>
      </w:r>
      <w:r>
        <w:rPr>
          <w:rFonts w:ascii="Bookman Old Style" w:hAnsi="Bookman Old Style"/>
          <w:sz w:val="24"/>
          <w:szCs w:val="24"/>
        </w:rPr>
      </w:r>
    </w:p>
    <w:p>
      <w:pPr>
        <w:pStyle w:val="para2"/>
        <w:ind w:left="720"/>
        <w:rPr>
          <w:rFonts w:ascii="Bookman Old Style" w:hAnsi="Bookman Old Style"/>
          <w:sz w:val="24"/>
          <w:szCs w:val="24"/>
        </w:rPr>
      </w:pPr>
      <w:r>
        <w:rPr>
          <w:rFonts w:ascii="Bookman Old Style" w:hAnsi="Bookman Old Style"/>
          <w:sz w:val="24"/>
          <w:szCs w:val="24"/>
        </w:rPr>
        <w:t xml:space="preserve">Özetle kişisel ve mesleki gelişimle ilgili; </w:t>
      </w:r>
      <w:r>
        <w:rPr>
          <w:rFonts w:ascii="Bookman Old Style" w:hAnsi="Bookman Old Style"/>
          <w:sz w:val="24"/>
          <w:szCs w:val="24"/>
        </w:rPr>
      </w:r>
    </w:p>
    <w:p>
      <w:pPr>
        <w:pStyle w:val="para2"/>
        <w:ind w:left="360"/>
        <w:rPr>
          <w:rFonts w:cs="Arial"/>
          <w:shd w:val="clear" w:fill="ffffff"/>
        </w:rPr>
      </w:pPr>
      <w:r>
        <w:rPr>
          <w:rFonts w:ascii="Bookman Old Style" w:hAnsi="Bookman Old Style"/>
          <w:sz w:val="24"/>
          <w:szCs w:val="24"/>
        </w:rPr>
        <w:t xml:space="preserve">-Kurslar/workshoplar, eğitim konferansları ve seminerleri ile yeterlilik programlarına katılabilir, bireysel ve işbirlikçi araştırmalar yapabilir, mentorluk, meslektaş gözlemi ve koçluk görevleri üstlenebilir, mesleki yayınları okuyabilir, farklı ülkelerin eğitim yaşantılarını inceleyebilir, </w:t>
      </w:r>
      <w:r>
        <w:rPr>
          <w:rFonts w:ascii="Bookman Old Style" w:hAnsi="Bookman Old Style" w:cs="Arial"/>
          <w:sz w:val="24"/>
          <w:szCs w:val="24"/>
          <w:shd w:val="clear" w:fill="ffffff"/>
        </w:rPr>
        <w:t xml:space="preserve">web </w:t>
      </w:r>
      <w:r>
        <w:rPr>
          <w:rFonts w:ascii="Bookman Old Style" w:hAnsi="Bookman Old Style" w:cs="Arial"/>
          <w:sz w:val="24"/>
          <w:szCs w:val="24"/>
          <w:shd w:val="clear" w:fill="ffffff"/>
        </w:rPr>
        <w:t>2.0</w:t>
      </w:r>
      <w:r>
        <w:rPr>
          <w:rFonts w:ascii="Bookman Old Style" w:hAnsi="Bookman Old Style" w:cs="Arial"/>
          <w:sz w:val="24"/>
          <w:szCs w:val="24"/>
          <w:shd w:val="clear" w:fill="ffffff"/>
        </w:rPr>
        <w:t xml:space="preserve"> araçlarını kullanarak ders materyalleri hazırlayabilir, </w:t>
      </w:r>
      <w:r>
        <w:rPr>
          <w:rFonts w:ascii="Bookman Old Style" w:hAnsi="Bookman Old Style"/>
          <w:sz w:val="24"/>
          <w:szCs w:val="24"/>
        </w:rPr>
        <w:t>sportif ve kültürel faaliyetlerde bulunup, sanat atölyelerinden faydalanarak beceriler geliştirebilir, edinimlerimizi mesleki yaşantımıza aktarabiliriz.</w:t>
      </w:r>
      <w:r>
        <w:rPr>
          <w:rFonts w:cs="Arial"/>
          <w:shd w:val="clear" w:fill="ffffff"/>
        </w:rPr>
      </w:r>
    </w:p>
    <w:p>
      <w:pPr>
        <w:pStyle w:val="para2"/>
        <w:ind w:left="720"/>
        <w:rPr>
          <w:rFonts w:ascii="Bookman Old Style" w:hAnsi="Bookman Old Style"/>
          <w:sz w:val="24"/>
          <w:szCs w:val="24"/>
        </w:rPr>
      </w:pPr>
      <w:r>
        <w:rPr>
          <w:rFonts w:ascii="Bookman Old Style" w:hAnsi="Bookman Old Style"/>
          <w:sz w:val="24"/>
          <w:szCs w:val="24"/>
        </w:rPr>
        <w:t xml:space="preserve">     Bütün bu deneyimler, bilims</w:t>
      </w:r>
      <w:r>
        <w:rPr>
          <w:rFonts w:ascii="Bookman Old Style" w:hAnsi="Bookman Old Style"/>
          <w:sz w:val="24"/>
          <w:szCs w:val="24"/>
        </w:rPr>
        <w:t xml:space="preserve">el  ve  teknolojik  gelişmenin </w:t>
      </w:r>
      <w:r>
        <w:rPr>
          <w:rFonts w:ascii="Bookman Old Style" w:hAnsi="Bookman Old Style"/>
          <w:sz w:val="24"/>
          <w:szCs w:val="24"/>
        </w:rPr>
        <w:t>sağladığı  y</w:t>
      </w:r>
      <w:r>
        <w:rPr>
          <w:rFonts w:ascii="Bookman Old Style" w:hAnsi="Bookman Old Style"/>
          <w:sz w:val="24"/>
          <w:szCs w:val="24"/>
        </w:rPr>
        <w:t>eni  imkânlarla hızla değişen bir </w:t>
      </w:r>
      <w:r>
        <w:rPr>
          <w:rFonts w:ascii="Bookman Old Style" w:hAnsi="Bookman Old Style"/>
          <w:sz w:val="24"/>
          <w:szCs w:val="24"/>
        </w:rPr>
        <w:t>toplumda, </w:t>
      </w:r>
      <w:r>
        <w:rPr>
          <w:rFonts w:ascii="Bookman Old Style" w:hAnsi="Bookman Old Style" w:cs="Arial"/>
          <w:sz w:val="24"/>
          <w:szCs w:val="24"/>
          <w:shd w:val="clear" w:fill="ffffff"/>
        </w:rPr>
        <w:t>mesleki gelişimimize katkı sağlayarak</w:t>
      </w:r>
      <w:r>
        <w:rPr>
          <w:rFonts w:ascii="Bookman Old Style" w:hAnsi="Bookman Old Style"/>
          <w:sz w:val="24"/>
          <w:szCs w:val="24"/>
        </w:rPr>
        <w:t xml:space="preserve"> kendimizi  mesleki  anlamda  geliştirmemize ve </w:t>
      </w:r>
      <w:r>
        <w:rPr>
          <w:rFonts w:ascii="Bookman Old Style" w:hAnsi="Bookman Old Style"/>
          <w:sz w:val="24"/>
          <w:szCs w:val="24"/>
        </w:rPr>
        <w:t>farkındalık</w:t>
      </w:r>
      <w:r>
        <w:rPr>
          <w:rFonts w:ascii="Bookman Old Style" w:hAnsi="Bookman Old Style"/>
          <w:sz w:val="24"/>
          <w:szCs w:val="24"/>
        </w:rPr>
        <w:t xml:space="preserve"> yaratmamıza olanak sağlar.</w:t>
      </w:r>
      <w:r>
        <w:rPr>
          <w:rFonts w:ascii="Bookman Old Style" w:hAnsi="Bookman Old Style"/>
          <w:sz w:val="24"/>
          <w:szCs w:val="24"/>
        </w:rPr>
      </w:r>
    </w:p>
    <w:p>
      <w:pPr>
        <w:pStyle w:val="para2"/>
        <w:ind w:left="720"/>
        <w:rPr>
          <w:rFonts w:ascii="Bookman Old Style" w:hAnsi="Bookman Old Style"/>
          <w:sz w:val="24"/>
          <w:szCs w:val="24"/>
        </w:rPr>
      </w:pPr>
      <w:r>
        <w:rPr>
          <w:rFonts w:ascii="Bookman Old Style" w:hAnsi="Bookman Old Style"/>
          <w:sz w:val="24"/>
          <w:szCs w:val="24"/>
        </w:rPr>
        <w:t xml:space="preserve">    Kişisel ve mesleki gelişimimiz için hedeflerimiz ve bir yol haritamız olmalıdır. </w:t>
      </w:r>
      <w:r>
        <w:rPr>
          <w:rFonts w:ascii="Bookman Old Style" w:hAnsi="Bookman Old Style"/>
          <w:sz w:val="24"/>
          <w:szCs w:val="24"/>
        </w:rPr>
      </w:r>
    </w:p>
    <w:p>
      <w:pPr>
        <w:pStyle w:val="para2"/>
        <w:ind w:left="720"/>
        <w:rPr>
          <w:rFonts w:ascii="Bookman Old Style" w:hAnsi="Bookman Old Style"/>
          <w:sz w:val="24"/>
          <w:szCs w:val="24"/>
        </w:rPr>
      </w:pPr>
      <w:r>
        <w:rPr>
          <w:rFonts w:ascii="Bookman Old Style" w:hAnsi="Bookman Old Style"/>
          <w:sz w:val="24"/>
          <w:szCs w:val="24"/>
          <w:shd w:val="clear" w:fill="ffffff"/>
        </w:rPr>
        <w:t>Çocukluğumuzda sadece bir masal kitabı o</w:t>
      </w:r>
      <w:r>
        <w:rPr>
          <w:rFonts w:ascii="Bookman Old Style" w:hAnsi="Bookman Old Style"/>
          <w:sz w:val="24"/>
          <w:szCs w:val="24"/>
          <w:shd w:val="clear" w:fill="ffffff"/>
        </w:rPr>
        <w:t xml:space="preserve">larak okuduğumuz </w:t>
      </w:r>
      <w:r>
        <w:rPr>
          <w:rFonts w:ascii="Bookman Old Style" w:hAnsi="Bookman Old Style"/>
          <w:sz w:val="24"/>
          <w:szCs w:val="24"/>
          <w:shd w:val="clear" w:fill="ffffff"/>
        </w:rPr>
        <w:t>Lewis</w:t>
      </w:r>
      <w:r>
        <w:rPr>
          <w:rFonts w:ascii="Bookman Old Style" w:hAnsi="Bookman Old Style"/>
          <w:sz w:val="24"/>
          <w:szCs w:val="24"/>
          <w:shd w:val="clear" w:fill="ffffff"/>
        </w:rPr>
        <w:t xml:space="preserve"> </w:t>
      </w:r>
      <w:r>
        <w:rPr>
          <w:rFonts w:ascii="Bookman Old Style" w:hAnsi="Bookman Old Style"/>
          <w:sz w:val="24"/>
          <w:szCs w:val="24"/>
          <w:shd w:val="clear" w:fill="ffffff"/>
        </w:rPr>
        <w:t>Carroll</w:t>
      </w:r>
      <w:r>
        <w:rPr>
          <w:rFonts w:ascii="Bookman Old Style" w:hAnsi="Bookman Old Style"/>
          <w:sz w:val="24"/>
          <w:szCs w:val="24"/>
          <w:shd w:val="clear" w:fill="ffffff"/>
        </w:rPr>
        <w:t xml:space="preserve">, </w:t>
      </w:r>
      <w:r>
        <w:rPr>
          <w:rFonts w:ascii="Bookman Old Style" w:hAnsi="Bookman Old Style"/>
          <w:sz w:val="24"/>
          <w:szCs w:val="24"/>
          <w:shd w:val="clear" w:fill="ffffff"/>
        </w:rPr>
        <w:t>tarafından kaleme alınmış olan “</w:t>
      </w:r>
      <w:r>
        <w:rPr>
          <w:rFonts w:ascii="Bookman Old Style" w:hAnsi="Bookman Old Style"/>
          <w:sz w:val="24"/>
          <w:szCs w:val="24"/>
          <w:shd w:val="clear" w:fill="ffffff"/>
        </w:rPr>
        <w:t>Alice</w:t>
      </w:r>
      <w:r>
        <w:rPr>
          <w:rFonts w:ascii="Bookman Old Style" w:hAnsi="Bookman Old Style"/>
          <w:sz w:val="24"/>
          <w:szCs w:val="24"/>
          <w:shd w:val="clear" w:fill="ffffff"/>
        </w:rPr>
        <w:t xml:space="preserve"> Harikalar Diyarında” isimli eseri şimdilerde incelediğimizde eserin, zihin oyunlarına göndermeler yaptığını farklı bilim dalları tarafından da incelenen bir eser olduğunu görebiliyoruz.</w:t>
      </w:r>
      <w:r>
        <w:rPr>
          <w:rFonts w:ascii="Bookman Old Style" w:hAnsi="Bookman Old Style"/>
          <w:sz w:val="24"/>
          <w:szCs w:val="24"/>
        </w:rPr>
      </w:r>
    </w:p>
    <w:p>
      <w:pPr>
        <w:pStyle w:val="para2"/>
        <w:ind w:left="720"/>
        <w:rPr>
          <w:rFonts w:ascii="Bookman Old Style" w:hAnsi="Bookman Old Style"/>
          <w:sz w:val="24"/>
          <w:szCs w:val="24"/>
        </w:rPr>
      </w:pPr>
      <w:r>
        <w:rPr>
          <w:rFonts w:ascii="Bookman Old Style" w:hAnsi="Bookman Old Style"/>
          <w:sz w:val="24"/>
          <w:szCs w:val="24"/>
          <w:shd w:val="clear" w:fill="ffffff"/>
        </w:rPr>
        <w:t xml:space="preserve"> Eser, </w:t>
      </w:r>
      <w:r>
        <w:rPr>
          <w:rFonts w:ascii="Bookman Old Style" w:hAnsi="Bookman Old Style"/>
          <w:sz w:val="24"/>
          <w:szCs w:val="24"/>
          <w:shd w:val="clear" w:fill="ffffff"/>
        </w:rPr>
        <w:t>Alice</w:t>
      </w:r>
      <w:r>
        <w:rPr>
          <w:rFonts w:ascii="Bookman Old Style" w:hAnsi="Bookman Old Style"/>
          <w:sz w:val="24"/>
          <w:szCs w:val="24"/>
          <w:shd w:val="clear" w:fill="ffffff"/>
        </w:rPr>
        <w:t xml:space="preserve"> isminde bir kız çocuğunun, bir tavşan deliğinden geçerek girdiği fantastik bir dünyada başından geçen hikayeleri anlatır. Kitabın birinci bölümünde </w:t>
      </w:r>
      <w:r>
        <w:rPr>
          <w:rFonts w:ascii="Bookman Old Style" w:hAnsi="Bookman Old Style"/>
          <w:sz w:val="24"/>
          <w:szCs w:val="24"/>
          <w:shd w:val="clear" w:fill="ffffff"/>
        </w:rPr>
        <w:t>Alice</w:t>
      </w:r>
      <w:r>
        <w:rPr>
          <w:rFonts w:ascii="Bookman Old Style" w:hAnsi="Bookman Old Style"/>
          <w:sz w:val="24"/>
          <w:szCs w:val="24"/>
          <w:shd w:val="clear" w:fill="ffffff"/>
        </w:rPr>
        <w:t xml:space="preserve"> Beyaz Tavşan’ın ardından koşar ve tavşan deliğinden kendini bırakarak Harikalar Diyarı’na atlar.</w:t>
      </w:r>
      <w:r>
        <w:rPr>
          <w:rFonts w:ascii="Bookman Old Style" w:hAnsi="Bookman Old Style"/>
          <w:sz w:val="24"/>
          <w:szCs w:val="24"/>
        </w:rPr>
        <w:t xml:space="preserve"> Bir yol ayrımına geldiklerinde </w:t>
      </w:r>
      <w:r>
        <w:rPr>
          <w:rFonts w:ascii="Bookman Old Style" w:hAnsi="Bookman Old Style"/>
          <w:sz w:val="24"/>
          <w:szCs w:val="24"/>
        </w:rPr>
        <w:t>Alice’nin</w:t>
      </w:r>
      <w:r>
        <w:rPr>
          <w:rFonts w:ascii="Bookman Old Style" w:hAnsi="Bookman Old Style"/>
          <w:sz w:val="24"/>
          <w:szCs w:val="24"/>
        </w:rPr>
        <w:t xml:space="preserve">  “hangi yoldan gideyim” sorusuna Beyaz Tavşan’ın cevabı oldukça çarpıcıdır:</w:t>
      </w:r>
      <w:r>
        <w:rPr>
          <w:rFonts w:ascii="Bookman Old Style" w:hAnsi="Bookman Old Style"/>
          <w:sz w:val="24"/>
          <w:szCs w:val="24"/>
        </w:rPr>
      </w:r>
    </w:p>
    <w:p>
      <w:pPr>
        <w:pStyle w:val="para2"/>
        <w:ind w:left="720"/>
        <w:rPr>
          <w:rFonts w:ascii="Bookman Old Style" w:hAnsi="Bookman Old Style"/>
          <w:sz w:val="24"/>
          <w:szCs w:val="24"/>
        </w:rPr>
      </w:pPr>
      <w:r>
        <w:rPr>
          <w:rFonts w:ascii="Bookman Old Style" w:hAnsi="Bookman Old Style"/>
          <w:sz w:val="24"/>
          <w:szCs w:val="24"/>
        </w:rPr>
        <w:t>“Nereye gittiğini bilmiyorsan, hangi yoldan gittiğinin hiçbir önemi yoktur</w:t>
      </w:r>
      <w:r>
        <w:rPr>
          <w:rFonts w:ascii="Bookman Old Style" w:hAnsi="Bookman Old Style"/>
          <w:b/>
          <w:sz w:val="24"/>
          <w:szCs w:val="24"/>
        </w:rPr>
        <w:t>.</w:t>
      </w:r>
      <w:r>
        <w:rPr>
          <w:rFonts w:ascii="Bookman Old Style" w:hAnsi="Bookman Old Style"/>
          <w:sz w:val="24"/>
          <w:szCs w:val="24"/>
        </w:rPr>
        <w:t>”</w:t>
      </w:r>
      <w:r>
        <w:rPr>
          <w:rFonts w:ascii="Bookman Old Style" w:hAnsi="Bookman Old Style"/>
          <w:sz w:val="24"/>
          <w:szCs w:val="24"/>
        </w:rPr>
      </w:r>
    </w:p>
    <w:p>
      <w:pPr>
        <w:pStyle w:val="para2"/>
        <w:ind w:left="360"/>
        <w:rPr>
          <w:rFonts w:ascii="Bookman Old Style" w:hAnsi="Bookman Old Style"/>
          <w:sz w:val="24"/>
          <w:szCs w:val="24"/>
          <w:shd w:val="clear" w:fill="ffffff"/>
        </w:rPr>
      </w:pPr>
      <w:r>
        <w:rPr>
          <w:rFonts w:ascii="Bookman Old Style" w:hAnsi="Bookman Old Style"/>
          <w:sz w:val="24"/>
          <w:szCs w:val="24"/>
          <w:shd w:val="clear" w:fill="ffffff"/>
        </w:rPr>
        <w:t xml:space="preserve">     Her insanın hayalleri, yetenekleri, yapabilecekleri, kendinden beklentileri vardır. Önemli olan bunların hepsini orta noktada buluşturacak hedefler belirlemek ve o hedeflere gidecek yol haritasını oluşturabilmektir.</w:t>
      </w:r>
      <w:r>
        <w:rPr>
          <w:rFonts w:ascii="Bookman Old Style" w:hAnsi="Bookman Old Style"/>
          <w:sz w:val="24"/>
          <w:szCs w:val="24"/>
          <w:shd w:val="clear" w:fill="ffffff"/>
        </w:rPr>
      </w:r>
    </w:p>
    <w:p>
      <w:pPr>
        <w:pStyle w:val="para2"/>
        <w:ind w:left="720"/>
        <w:rPr>
          <w:rFonts w:ascii="Bookman Old Style" w:hAnsi="Bookman Old Style"/>
          <w:sz w:val="24"/>
          <w:szCs w:val="24"/>
        </w:rPr>
      </w:pPr>
      <w:r>
        <w:rPr>
          <w:rFonts w:ascii="Bookman Old Style" w:hAnsi="Bookman Old Style"/>
          <w:sz w:val="24"/>
          <w:szCs w:val="24"/>
        </w:rPr>
        <w:t xml:space="preserve">  Eğitim belli bilgileri dayatmak</w:t>
      </w:r>
      <w:r>
        <w:rPr>
          <w:rFonts w:ascii="Bookman Old Style" w:hAnsi="Bookman Old Style"/>
          <w:sz w:val="24"/>
          <w:szCs w:val="24"/>
        </w:rPr>
        <w:t xml:space="preserve"> değil, insanın hayal gücünü büyülemektir. Yaratıcılığa teşvik etmektir. Yaratıcılık sınırların dışına çıkabilmektir. Boğazı zincirlerle kapattıklarında karadan gemileri geçirmeyi akıl edebilmek bir yaratıcılıktır.</w:t>
      </w:r>
      <w:r>
        <w:rPr>
          <w:rFonts w:ascii="Bookman Old Style" w:hAnsi="Bookman Old Style"/>
          <w:sz w:val="24"/>
          <w:szCs w:val="24"/>
        </w:rPr>
      </w:r>
    </w:p>
    <w:p>
      <w:pPr>
        <w:pStyle w:val="para2"/>
        <w:ind w:left="360"/>
        <w:rPr>
          <w:rFonts w:ascii="Bookman Old Style" w:hAnsi="Bookman Old Style"/>
          <w:sz w:val="24"/>
          <w:szCs w:val="24"/>
        </w:rPr>
      </w:pPr>
      <w:r>
        <w:rPr>
          <w:rFonts w:ascii="Bookman Old Style" w:hAnsi="Bookman Old Style"/>
          <w:sz w:val="24"/>
          <w:szCs w:val="24"/>
        </w:rPr>
        <w:t xml:space="preserve">     Mesleki gelişimimizi sağlayacak deneyimlere başlamadan önce, ne yapmak istiyorum? Neden önemli? Nerede bulurum? Hangi kaynaklar var? Sorularına cevaplarımız net olmalıdır.</w:t>
      </w:r>
      <w:r>
        <w:rPr>
          <w:rFonts w:ascii="Bookman Old Style" w:hAnsi="Bookman Old Style"/>
          <w:sz w:val="24"/>
          <w:szCs w:val="24"/>
        </w:rPr>
      </w:r>
    </w:p>
    <w:p>
      <w:pPr>
        <w:pStyle w:val="para2"/>
        <w:ind w:left="720"/>
        <w:rPr>
          <w:rFonts w:ascii="Bookman Old Style" w:hAnsi="Bookman Old Style"/>
          <w:sz w:val="24"/>
          <w:szCs w:val="24"/>
        </w:rPr>
      </w:pPr>
      <w:r>
        <w:rPr>
          <w:rFonts w:ascii="Bookman Old Style" w:hAnsi="Bookman Old Style"/>
          <w:sz w:val="24"/>
          <w:szCs w:val="24"/>
        </w:rPr>
        <w:t xml:space="preserve">     Öğretim yöntem ve metotlarına dair hazırladığım bir sunumumda araştırmalarım sonucu ulaştığım sıra dışı öğretmen Jane Elliott’ın uyguladığı yöntemler ilgimi çekmişti. </w:t>
      </w:r>
    </w:p>
    <w:p>
      <w:pPr>
        <w:pStyle w:val="para2"/>
        <w:ind w:left="720"/>
        <w:rPr>
          <w:rFonts w:ascii="Bookman Old Style" w:hAnsi="Bookman Old Style"/>
          <w:sz w:val="24"/>
          <w:szCs w:val="24"/>
        </w:rPr>
      </w:pPr>
      <w:r>
        <w:rPr>
          <w:rFonts w:ascii="Bookman Old Style" w:hAnsi="Bookman Old Style"/>
          <w:sz w:val="24"/>
          <w:szCs w:val="24"/>
          <w:shd w:val="clear" w:fill="ffffff"/>
        </w:rPr>
        <w:t>Kendi kasabasının dışına hiç çıkmamasına rağmen öğrencilerinin “insan” yönlerini geliştirmelerine çok büyük önem veren idealist k</w:t>
      </w:r>
      <w:r>
        <w:rPr>
          <w:rFonts w:ascii="Bookman Old Style" w:hAnsi="Bookman Old Style"/>
          <w:sz w:val="24"/>
          <w:szCs w:val="24"/>
        </w:rPr>
        <w:t xml:space="preserve">uraldışı bir eğitmen olan Jane Elliott’ın sınıfında </w:t>
      </w:r>
      <w:r>
        <w:rPr>
          <w:rFonts w:ascii="Bookman Old Style" w:hAnsi="Bookman Old Style"/>
          <w:sz w:val="24"/>
          <w:szCs w:val="24"/>
          <w:shd w:val="clear" w:fill="ffffff"/>
        </w:rPr>
        <w:t>empati ve etik değerlerin gelişmesine dair bir uygulaması oldukça dikkat çekiciydi. Jane çocukları müfredat dışı birçok aktiviteye katmasıyla bilinen kuraldışı bir eğitmendir. </w:t>
      </w:r>
      <w:r>
        <w:rPr>
          <w:rFonts w:ascii="Bookman Old Style" w:hAnsi="Bookman Old Style"/>
          <w:sz w:val="24"/>
          <w:szCs w:val="24"/>
        </w:rPr>
      </w:r>
    </w:p>
    <w:p>
      <w:pPr>
        <w:pStyle w:val="para2"/>
        <w:ind w:left="720"/>
        <w:rPr>
          <w:rFonts w:ascii="Bookman Old Style" w:hAnsi="Bookman Old Style"/>
          <w:sz w:val="24"/>
          <w:szCs w:val="24"/>
        </w:rPr>
      </w:pPr>
      <w:r>
        <w:rPr>
          <w:rFonts w:ascii="Bookman Old Style" w:hAnsi="Bookman Old Style"/>
          <w:sz w:val="24"/>
          <w:szCs w:val="24"/>
        </w:rPr>
        <w:t xml:space="preserve">   Örneğin, bir derste öğrencilerine kasabalarını ağaçlandırma görevini vermişti. Acaba her çocuk kaç ağacın tohumunu ekebilirdi. Jane’in öğrencilerinin ektiği tohumların yeşerttiği ağaçlar hâlâ ayaktadır. Amacı onları hayata hazırlamak, yaratıcılıklarını geliştirmek ve daha insan olmalarını sağlamaktı.</w:t>
      </w:r>
    </w:p>
    <w:p>
      <w:pPr>
        <w:pStyle w:val="para2"/>
        <w:ind w:left="720"/>
        <w:rPr>
          <w:rFonts w:ascii="Bookman Old Style" w:hAnsi="Bookman Old Style"/>
          <w:sz w:val="24"/>
          <w:szCs w:val="24"/>
        </w:rPr>
      </w:pPr>
      <w:r>
        <w:rPr>
          <w:rFonts w:ascii="Bookman Old Style" w:hAnsi="Bookman Old Style"/>
          <w:sz w:val="24"/>
          <w:szCs w:val="24"/>
        </w:rPr>
        <w:t xml:space="preserve">    Jane’in okuluna eyalet yılda bir milyon dolar fon ayırmaya karar verdiğinde, öğrencilerinin bir milyon rakamının ne kadar olduğunu anlamaları için, onları bir mısır tarlasına götürerek bir milyon adet mısır tanesi toplamalarını söylemiş ve toplanan mısır yığınını göstermiştir.</w:t>
      </w:r>
    </w:p>
    <w:p>
      <w:pPr>
        <w:pStyle w:val="para2"/>
        <w:ind w:left="720"/>
        <w:rPr>
          <w:rFonts w:ascii="Bookman Old Style" w:hAnsi="Bookman Old Style" w:cs="Arial"/>
          <w:b/>
          <w:bCs/>
          <w:sz w:val="24"/>
          <w:szCs w:val="24"/>
        </w:rPr>
      </w:pPr>
      <w:r>
        <w:rPr>
          <w:rFonts w:ascii="Bookman Old Style" w:hAnsi="Bookman Old Style"/>
          <w:sz w:val="24"/>
          <w:szCs w:val="24"/>
          <w:shd w:val="clear" w:fill="ffffff"/>
        </w:rPr>
        <w:t xml:space="preserve">    Jane Elliott, Amerikan Eğitim Tarihi ansiklopedisinde Konfiçyus, Aristoteles, Eflatun, Maria</w:t>
      </w:r>
      <w:r>
        <w:rPr>
          <w:rFonts w:ascii="Bookman Old Style" w:hAnsi="Bookman Old Style"/>
          <w:sz w:val="24"/>
          <w:szCs w:val="24"/>
          <w:shd w:val="clear" w:fill="ffffff"/>
        </w:rPr>
        <w:t xml:space="preserve"> </w:t>
      </w:r>
      <w:r>
        <w:rPr>
          <w:rFonts w:ascii="Bookman Old Style" w:hAnsi="Bookman Old Style"/>
          <w:sz w:val="24"/>
          <w:szCs w:val="24"/>
          <w:shd w:val="clear" w:fill="ffffff"/>
        </w:rPr>
        <w:t>Montessori</w:t>
      </w:r>
      <w:r>
        <w:rPr>
          <w:rFonts w:ascii="Bookman Old Style" w:hAnsi="Bookman Old Style"/>
          <w:sz w:val="24"/>
          <w:szCs w:val="24"/>
          <w:shd w:val="clear" w:fill="ffffff"/>
        </w:rPr>
        <w:t xml:space="preserve"> gibi isimlerin yanında yer almış bir öğretmendir.</w:t>
      </w:r>
      <w:r>
        <w:rPr>
          <w:rFonts w:ascii="Bookman Old Style" w:hAnsi="Bookman Old Style" w:cs="Arial"/>
          <w:b/>
          <w:bCs/>
          <w:sz w:val="24"/>
          <w:szCs w:val="24"/>
        </w:rPr>
      </w:r>
    </w:p>
    <w:p>
      <w:pPr>
        <w:pStyle w:val="para2"/>
        <w:ind w:left="720"/>
        <w:rPr>
          <w:rFonts w:ascii="Bookman Old Style" w:hAnsi="Bookman Old Style" w:cs="Arial"/>
          <w:sz w:val="24"/>
          <w:szCs w:val="24"/>
        </w:rPr>
      </w:pPr>
      <w:r>
        <w:rPr>
          <w:rFonts w:ascii="Bookman Old Style" w:hAnsi="Bookman Old Style" w:cs="Arial"/>
          <w:b/>
          <w:bCs/>
          <w:sz w:val="24"/>
          <w:szCs w:val="24"/>
        </w:rPr>
        <w:t>“Yaşam gerçekten cesurları seviyor. Cesurlar da yaşamı..</w:t>
      </w:r>
      <w:r>
        <w:rPr>
          <w:rFonts w:ascii="Bookman Old Style" w:hAnsi="Bookman Old Style" w:cs="Arial"/>
          <w:sz w:val="24"/>
          <w:szCs w:val="24"/>
        </w:rPr>
      </w:r>
    </w:p>
    <w:p>
      <w:pPr>
        <w:pStyle w:val="para2"/>
        <w:numPr>
          <w:ilvl w:val="0"/>
          <w:numId w:val="3"/>
        </w:numPr>
        <w:ind w:left="720" w:hanging="360"/>
        <w:rPr>
          <w:rFonts w:ascii="Bookman Old Style" w:hAnsi="Bookman Old Style" w:cs="Arial"/>
          <w:color w:val="333333"/>
          <w:sz w:val="24"/>
          <w:szCs w:val="24"/>
        </w:rPr>
      </w:pPr>
      <w:r>
        <w:rPr>
          <w:rFonts w:ascii="Bookman Old Style" w:hAnsi="Bookman Old Style"/>
          <w:sz w:val="24"/>
          <w:szCs w:val="24"/>
          <w:shd w:val="clear" w:fill="ffffff"/>
        </w:rPr>
        <w:t xml:space="preserve">    Yine</w:t>
      </w:r>
      <w:r>
        <w:rPr>
          <w:rFonts w:ascii="Bookman Old Style" w:hAnsi="Bookman Old Style" w:eastAsia="Times New Roman"/>
          <w:color w:val="000000"/>
          <w:sz w:val="24"/>
          <w:szCs w:val="24"/>
        </w:rPr>
        <w:t xml:space="preserve"> mesleki </w:t>
      </w:r>
      <w:r>
        <w:rPr>
          <w:rFonts w:ascii="Bookman Old Style" w:hAnsi="Bookman Old Style"/>
          <w:color w:val="000000"/>
          <w:sz w:val="24"/>
          <w:szCs w:val="24"/>
        </w:rPr>
        <w:t xml:space="preserve">yaşam öyküsünden etkilendiğim, </w:t>
      </w:r>
      <w:r>
        <w:rPr>
          <w:rFonts w:ascii="Bookman Old Style" w:hAnsi="Bookman Old Style" w:cs="Arial"/>
          <w:color w:val="333333"/>
          <w:sz w:val="24"/>
          <w:szCs w:val="24"/>
        </w:rPr>
        <w:t xml:space="preserve">Küresel öğretmen ödülü </w:t>
      </w:r>
      <w:r>
        <w:rPr>
          <w:rFonts w:ascii="Bookman Old Style" w:hAnsi="Bookman Old Style" w:cs="Arial"/>
          <w:color w:val="333333"/>
          <w:sz w:val="24"/>
          <w:szCs w:val="24"/>
        </w:rPr>
        <w:t>kazanmış</w:t>
      </w:r>
      <w:r>
        <w:rPr>
          <w:rFonts w:ascii="Bookman Old Style" w:hAnsi="Bookman Old Style" w:eastAsia="Times New Roman"/>
          <w:color w:val="000000"/>
          <w:sz w:val="24"/>
          <w:szCs w:val="24"/>
        </w:rPr>
        <w:t>sıra dışı bir öğretmen</w:t>
      </w:r>
      <w:r>
        <w:rPr>
          <w:rFonts w:ascii="Bookman Old Style" w:hAnsi="Bookman Old Style" w:cs="Arial"/>
          <w:color w:val="333333"/>
          <w:sz w:val="24"/>
          <w:szCs w:val="24"/>
        </w:rPr>
        <w:t xml:space="preserve"> </w:t>
      </w:r>
      <w:r>
        <w:rPr>
          <w:rFonts w:ascii="Bookman Old Style" w:hAnsi="Bookman Old Style" w:cs="Arial"/>
          <w:color w:val="333333"/>
          <w:sz w:val="24"/>
          <w:szCs w:val="24"/>
        </w:rPr>
        <w:t>Hanan</w:t>
      </w:r>
      <w:r>
        <w:rPr>
          <w:rFonts w:ascii="Bookman Old Style" w:hAnsi="Bookman Old Style" w:cs="Arial"/>
          <w:color w:val="333333"/>
          <w:sz w:val="24"/>
          <w:szCs w:val="24"/>
        </w:rPr>
        <w:t xml:space="preserve"> el-</w:t>
      </w:r>
      <w:r>
        <w:rPr>
          <w:rFonts w:ascii="Bookman Old Style" w:hAnsi="Bookman Old Style" w:cs="Arial"/>
          <w:color w:val="333333"/>
          <w:sz w:val="24"/>
          <w:szCs w:val="24"/>
        </w:rPr>
        <w:t>Hroub</w:t>
      </w:r>
      <w:r>
        <w:rPr>
          <w:rFonts w:ascii="Bookman Old Style" w:hAnsi="Bookman Old Style" w:cs="Arial"/>
          <w:color w:val="333333"/>
          <w:sz w:val="24"/>
          <w:szCs w:val="24"/>
        </w:rPr>
      </w:r>
    </w:p>
    <w:p>
      <w:pPr>
        <w:pStyle w:val="para2"/>
        <w:numPr>
          <w:ilvl w:val="0"/>
          <w:numId w:val="3"/>
        </w:numPr>
        <w:ind w:left="720" w:hanging="360"/>
        <w:rPr>
          <w:rFonts w:ascii="Bookman Old Style" w:hAnsi="Bookman Old Style" w:eastAsia="Times New Roman"/>
          <w:color w:val="333333"/>
          <w:sz w:val="24"/>
          <w:szCs w:val="24"/>
        </w:rPr>
      </w:pPr>
      <w:r>
        <w:rPr>
          <w:rFonts w:ascii="Bookman Old Style" w:hAnsi="Bookman Old Style" w:eastAsia="Times New Roman"/>
          <w:color w:val="333333"/>
          <w:sz w:val="24"/>
          <w:szCs w:val="24"/>
        </w:rPr>
        <w:t xml:space="preserve">   El-Hroub’un, bir gün okuldan dönerken Filistinli bir gencin, İsrail askerlerince silahla öldürülüşüne tanık oluyor. Psikolojileri bozulan çocuklar uzun süre okula gidemeyince El-Hroub, hayatındaki en önemli kararı veriyor. “O gün çocuklarımla mahalledeki çocuklara evimde eğitim vermeye karar verdim. Her gün şiddeti görerek eğitim almalarına gönlüm razı olmadı” diyen El-Hroub, çocuklara evde oyuncaklarla eğitim vermeye başlıyor. Bu adımla dünyaya örnek olacak bir eğitim modeline imza atıyor. “Oynayarak öğretmek” modelini geliştiren El-Hroub</w:t>
      </w:r>
      <w:r>
        <w:rPr>
          <w:rFonts w:ascii="Bookman Old Style" w:hAnsi="Bookman Old Style" w:eastAsia="Times New Roman"/>
          <w:color w:val="333333"/>
          <w:sz w:val="24"/>
          <w:szCs w:val="24"/>
        </w:rPr>
        <w:t>, yaralı ve hasta öğrencileri için de evlerine gidip eğitim veriyor.</w:t>
      </w:r>
      <w:r>
        <w:rPr>
          <w:rFonts w:ascii="Bookman Old Style" w:hAnsi="Bookman Old Style" w:eastAsia="Times New Roman"/>
          <w:color w:val="000000"/>
          <w:sz w:val="24"/>
          <w:szCs w:val="24"/>
        </w:rPr>
        <w:br w:type="textWrapping"/>
      </w:r>
      <w:r>
        <w:rPr>
          <w:rFonts w:ascii="Bookman Old Style" w:hAnsi="Bookman Old Style" w:eastAsia="Times New Roman"/>
          <w:color w:val="333333"/>
          <w:sz w:val="24"/>
          <w:szCs w:val="24"/>
        </w:rPr>
        <w:t xml:space="preserve">   Öğrencilerini sadece oyun oynayarak ve çocuk ezgileri dinleterek eğittiğini anlatan El-</w:t>
      </w:r>
      <w:r>
        <w:rPr>
          <w:rFonts w:ascii="Bookman Old Style" w:hAnsi="Bookman Old Style" w:eastAsia="Times New Roman"/>
          <w:color w:val="333333"/>
          <w:sz w:val="24"/>
          <w:szCs w:val="24"/>
        </w:rPr>
        <w:t>Hroub</w:t>
      </w:r>
      <w:r>
        <w:rPr>
          <w:rFonts w:ascii="Bookman Old Style" w:hAnsi="Bookman Old Style" w:eastAsia="Times New Roman"/>
          <w:color w:val="333333"/>
          <w:sz w:val="24"/>
          <w:szCs w:val="24"/>
        </w:rPr>
        <w:t>, “Sürekli yeni oyunlar geliştiriyorum. Bu oyunları, üniversiteye giden çocuklarım ve doktor eşimle oynayarak deniyorum. Daha sonra öğrencilerime uyguluyorum” diyor. Sınıflarından birinin oyun bahçesi olarak düzenlendiğini ifade eden El-</w:t>
      </w:r>
      <w:r>
        <w:rPr>
          <w:rFonts w:ascii="Bookman Old Style" w:hAnsi="Bookman Old Style" w:eastAsia="Times New Roman"/>
          <w:color w:val="333333"/>
          <w:sz w:val="24"/>
          <w:szCs w:val="24"/>
        </w:rPr>
        <w:t>Hroub</w:t>
      </w:r>
      <w:r>
        <w:rPr>
          <w:rFonts w:ascii="Bookman Old Style" w:hAnsi="Bookman Old Style" w:eastAsia="Times New Roman"/>
          <w:color w:val="333333"/>
          <w:sz w:val="24"/>
          <w:szCs w:val="24"/>
        </w:rPr>
        <w:t>, “Sıkıldıklarında açık alanda daha hareketli oyunlar oynayarak eğitime devam ediyorum. Öğretmen El-</w:t>
      </w:r>
      <w:r>
        <w:rPr>
          <w:rFonts w:ascii="Bookman Old Style" w:hAnsi="Bookman Old Style" w:eastAsia="Times New Roman"/>
          <w:color w:val="333333"/>
          <w:sz w:val="24"/>
          <w:szCs w:val="24"/>
        </w:rPr>
        <w:t>Hroub</w:t>
      </w:r>
      <w:r>
        <w:rPr>
          <w:rFonts w:ascii="Bookman Old Style" w:hAnsi="Bookman Old Style" w:eastAsia="Times New Roman"/>
          <w:color w:val="333333"/>
          <w:sz w:val="24"/>
          <w:szCs w:val="24"/>
        </w:rPr>
        <w:t xml:space="preserve">, ödül olarak kazandığı 1 milyon doların (2 milyon 876 bin TL) 10 yıl boyunca yılda 100 bin dolar olarak verileceğini belirterek, şöyle konuşuyor: “Parayı barışın olduğu bir dünya oluşması için öncelikle üniversite eğitimlerine devam </w:t>
      </w:r>
      <w:r>
        <w:rPr>
          <w:rFonts w:ascii="Bookman Old Style" w:hAnsi="Bookman Old Style" w:eastAsia="Times New Roman"/>
          <w:color w:val="333333"/>
          <w:sz w:val="24"/>
          <w:szCs w:val="24"/>
        </w:rPr>
        <w:t>edecek öğrencilerime, ardından da eğitim modelimi geliştirmeye ve bu modeli uygulayan okullarla eğitmenlere bağışlayacağım.</w:t>
      </w:r>
      <w:r>
        <w:rPr>
          <w:rFonts w:ascii="Bookman Old Style" w:hAnsi="Bookman Old Style" w:eastAsia="Times New Roman"/>
          <w:color w:val="333333"/>
          <w:sz w:val="24"/>
          <w:szCs w:val="24"/>
        </w:rPr>
      </w:r>
    </w:p>
    <w:p>
      <w:pPr>
        <w:pStyle w:val="para2"/>
        <w:ind w:left="720"/>
        <w:rPr>
          <w:rFonts w:ascii="Bookman Old Style" w:hAnsi="Bookman Old Style"/>
          <w:b/>
          <w:sz w:val="24"/>
          <w:szCs w:val="24"/>
        </w:rPr>
      </w:pPr>
      <w:r>
        <w:rPr>
          <w:rFonts w:ascii="Bookman Old Style" w:hAnsi="Bookman Old Style"/>
          <w:b/>
          <w:sz w:val="24"/>
          <w:szCs w:val="24"/>
        </w:rPr>
        <w:t xml:space="preserve">   “Öğretmenler dünyayı değiştirebilir”</w:t>
      </w:r>
    </w:p>
    <w:p>
      <w:pPr>
        <w:pStyle w:val="para1"/>
      </w:pPr>
      <w:r/>
    </w:p>
    <w:p>
      <w:pPr>
        <w:pStyle w:val="para1"/>
      </w:pPr>
      <w:r>
        <w:t>Zümre öğretmenimiz Sevda ÖZDEMİR öğretmenimizin bu bilgilendirici sunumuna teşekkür ettiler.</w:t>
      </w:r>
    </w:p>
    <w:p>
      <w:r>
        <w:t xml:space="preserve">      12. Söz alan 1/J sınıf öğretmenimiz Hünkâr YÖNDEMLİ; her sınıfımızdaki öğretmenlerimizin rehberlik servisimizle iletişim kurarak ihtiyacı olan çocuklarımız (kaynaştırma) için alınan RAM raporları doğrultusunda BEP lerinin yapıldığını belirtti zümre öğretmenlerimiz bu görüşe katıldıklarını belirttiler.</w:t>
      </w:r>
    </w:p>
    <w:p>
      <w:r>
        <w:t xml:space="preserve">        13. Söz alan zümre başkanı öğretmenimiz 2020/2021 eğitim ve öğretim yılının II. döneminin ülkemiz, ailelerimiz, çocuklarımız ve eğitim çalışan ve emekçilerimiz için sağlık ve başarılarla geçmesi temennisinde bulundu, zümre öğretmenlerimiz bu dilekleri paylaştı.</w:t>
      </w:r>
    </w:p>
    <w:p>
      <w:r/>
    </w:p>
    <w:p>
      <w:r>
        <w:t>Eda ÖCAL                              Selver ARIBAL                   Sevda AYDOĞDU                                 Fatma GÜRSOY</w:t>
      </w:r>
    </w:p>
    <w:p>
      <w:r>
        <w:t>1/A Sınıf Öğretmeni            1/B Sınıf Öğretmeni        1/C Sınıf Öğretmeni                    1/D Sınıf Öğretmeni</w:t>
      </w:r>
    </w:p>
    <w:p>
      <w:r/>
    </w:p>
    <w:p>
      <w:r>
        <w:t>Seval ARSLANBENZER               Fatma TARHAN                İbrahim KARAÇİZMELİ         Sinan ÇİÇEKCİ</w:t>
      </w:r>
    </w:p>
    <w:p>
      <w:r>
        <w:t>1/E Sınıf Öğretmeni                   1/F Sınıf Öğretmeni        1/G Sınıf Öğretmeni             1/H Sınıf Öğretmeni</w:t>
      </w:r>
    </w:p>
    <w:p>
      <w:r/>
    </w:p>
    <w:p>
      <w:r>
        <w:t>Zehra GÖKÇE                            Hünkâr YÖNDEMLİ                       Sevda ÖZDEMİR</w:t>
      </w:r>
    </w:p>
    <w:p>
      <w:r>
        <w:t>1/İ Sınıf Öğretmeni                  1/J Sınıf Öğretmeni                       1/K Sınıf Öğretmeni</w:t>
      </w:r>
    </w:p>
    <w:p>
      <w:r/>
    </w:p>
    <w:p>
      <w:pPr>
        <w:pStyle w:val="para1"/>
      </w:pPr>
      <w:r/>
    </w:p>
    <w:p>
      <w:pPr>
        <w:pStyle w:val="para1"/>
      </w:pPr>
      <w:r/>
    </w:p>
    <w:p>
      <w:pPr>
        <w:pStyle w:val="para1"/>
        <w:spacing w:after="160" w:line="360" w:lineRule="auto"/>
        <w:rPr>
          <w:rFonts w:eastAsia="Times New Roman"/>
        </w:rPr>
      </w:pPr>
      <w:r>
        <w:rPr>
          <w:rFonts w:eastAsia="Times New Roman"/>
        </w:rPr>
      </w:r>
    </w:p>
    <w:p>
      <w:pPr>
        <w:pStyle w:val="para2"/>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Times New Roman" w:hAnsi="Times New Roman"/>
          <w:kern w:val="1"/>
        </w:rPr>
      </w:pPr>
      <w:hyperlink r:id="rId8" w:history="1">
        <w:r>
          <w:rPr>
            <w:rStyle w:val="char1"/>
            <w:rFonts w:ascii="Times New Roman" w:hAnsi="Times New Roman"/>
            <w:kern w:val="1"/>
          </w:rPr>
          <w:t>https://www.sorubak.com</w:t>
        </w:r>
      </w:hyperlink>
      <w:r>
        <w:rPr>
          <w:rFonts w:ascii="Times New Roman" w:hAnsi="Times New Roman"/>
          <w:kern w:val="1"/>
        </w:rPr>
        <w:t xml:space="preserve"> </w:t>
      </w:r>
    </w:p>
    <w:p>
      <w:pPr>
        <w:pStyle w:val="para1"/>
      </w:pPr>
      <w:r/>
    </w:p>
    <w:p>
      <w:pPr>
        <w:pStyle w:val="para1"/>
      </w:pPr>
      <w:r/>
    </w:p>
    <w:p>
      <w:pPr>
        <w:pStyle w:val="para1"/>
      </w:pPr>
      <w:r/>
    </w:p>
    <w:sectPr>
      <w:footnotePr>
        <w:pos w:val="pageBottom"/>
        <w:numFmt w:val="decimal"/>
        <w:numStart w:val="1"/>
        <w:numRestart w:val="continuous"/>
      </w:footnotePr>
      <w:endnotePr>
        <w:pos w:val="docEnd"/>
        <w:numFmt w:val="decimal"/>
        <w:numStart w:val="1"/>
        <w:numRestart w:val="continuous"/>
      </w:endnotePr>
      <w:type w:val="nextPage"/>
      <w:pgSz w:h="16838" w:w="11906"/>
      <w:pgMar w:left="1417" w:top="1417" w:right="1417" w:bottom="1417" w:header="0" w:footer="0"/>
      <w:paperSrc w:first="0" w:other="0" a="0" b="0"/>
      <w:pgNumType w:fmt="decimal"/>
      <w:tmGutter w:val="3"/>
      <w:mirrorMargins w:val="0"/>
      <w:tmSection w:h="-2"/>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font>
  <w:font w:name="SimSun">
    <w:panose1 w:val="02010600030101010101"/>
    <w:charset w:val="00"/>
    <w:family w:val="auto"/>
    <w:pitch w:val="default"/>
  </w:font>
  <w:font w:name="Arial">
    <w:panose1 w:val="020B0604020202020204"/>
    <w:charset w:val="a2"/>
    <w:family w:val="swiss"/>
    <w:pitch w:val="default"/>
  </w:font>
  <w:font w:name="Garamond">
    <w:panose1 w:val="02020404030301010803"/>
    <w:charset w:val="a2"/>
    <w:family w:val="roman"/>
    <w:pitch w:val="default"/>
  </w:font>
  <w:font w:name="Symbol">
    <w:panose1 w:val="05050102010706020507"/>
    <w:charset w:val="02"/>
    <w:family w:val="roman"/>
    <w:pitch w:val="default"/>
  </w:font>
  <w:font w:name="Calibri">
    <w:panose1 w:val="020F0502020204030204"/>
    <w:charset w:val="a2"/>
    <w:family w:val="swiss"/>
    <w:pitch w:val="default"/>
  </w:font>
  <w:font w:name="Bookman Old Style">
    <w:panose1 w:val="02050604050505020204"/>
    <w:charset w:val="a2"/>
    <w:family w:val="roman"/>
    <w:pitch w:val="default"/>
  </w:font>
  <w:font w:name="Comic Sans MS">
    <w:panose1 w:val="030F0702030302020204"/>
    <w:charset w:val="a2"/>
    <w:family w:val="script"/>
    <w:pitch w:val="default"/>
  </w:font>
  <w:font w:name="Cambria">
    <w:panose1 w:val="02040503050406030204"/>
    <w:charset w:val="a2"/>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Numaralandırılmış liste 1"/>
    <w:lvl w:ilvl="0">
      <w:numFmt w:val="bullet"/>
      <w:suff w:val="tab"/>
      <w:lvlText w:val="◦"/>
      <w:lvlJc w:val="left"/>
      <w:pPr>
        <w:ind w:left="360" w:hanging="0"/>
      </w:pPr>
      <w:rPr>
        <w:rFonts w:ascii="Garamond" w:hAnsi="Garamond"/>
      </w:rPr>
    </w:lvl>
    <w:lvl w:ilvl="1">
      <w:numFmt w:val="bullet"/>
      <w:suff w:val="tab"/>
      <w:lvlText w:val="◦"/>
      <w:lvlJc w:val="left"/>
      <w:pPr>
        <w:ind w:left="1080" w:hanging="0"/>
      </w:pPr>
      <w:rPr>
        <w:rFonts w:ascii="Garamond" w:hAnsi="Garamond"/>
      </w:rPr>
    </w:lvl>
    <w:lvl w:ilvl="2">
      <w:numFmt w:val="bullet"/>
      <w:suff w:val="tab"/>
      <w:lvlText w:val="◦"/>
      <w:lvlJc w:val="left"/>
      <w:pPr>
        <w:ind w:left="1800" w:hanging="0"/>
      </w:pPr>
      <w:rPr>
        <w:rFonts w:ascii="Garamond" w:hAnsi="Garamond"/>
      </w:rPr>
    </w:lvl>
    <w:lvl w:ilvl="3">
      <w:numFmt w:val="bullet"/>
      <w:suff w:val="tab"/>
      <w:lvlText w:val="◦"/>
      <w:lvlJc w:val="left"/>
      <w:pPr>
        <w:ind w:left="2520" w:hanging="0"/>
      </w:pPr>
      <w:rPr>
        <w:rFonts w:ascii="Garamond" w:hAnsi="Garamond"/>
      </w:rPr>
    </w:lvl>
    <w:lvl w:ilvl="4">
      <w:numFmt w:val="bullet"/>
      <w:suff w:val="tab"/>
      <w:lvlText w:val="◦"/>
      <w:lvlJc w:val="left"/>
      <w:pPr>
        <w:ind w:left="3240" w:hanging="0"/>
      </w:pPr>
      <w:rPr>
        <w:rFonts w:ascii="Garamond" w:hAnsi="Garamond"/>
      </w:rPr>
    </w:lvl>
    <w:lvl w:ilvl="5">
      <w:numFmt w:val="bullet"/>
      <w:suff w:val="tab"/>
      <w:lvlText w:val="◦"/>
      <w:lvlJc w:val="left"/>
      <w:pPr>
        <w:ind w:left="3960" w:hanging="0"/>
      </w:pPr>
      <w:rPr>
        <w:rFonts w:ascii="Garamond" w:hAnsi="Garamond"/>
      </w:rPr>
    </w:lvl>
    <w:lvl w:ilvl="6">
      <w:numFmt w:val="bullet"/>
      <w:suff w:val="tab"/>
      <w:lvlText w:val="◦"/>
      <w:lvlJc w:val="left"/>
      <w:pPr>
        <w:ind w:left="4680" w:hanging="0"/>
      </w:pPr>
      <w:rPr>
        <w:rFonts w:ascii="Garamond" w:hAnsi="Garamond"/>
      </w:rPr>
    </w:lvl>
    <w:lvl w:ilvl="7">
      <w:numFmt w:val="bullet"/>
      <w:suff w:val="tab"/>
      <w:lvlText w:val="◦"/>
      <w:lvlJc w:val="left"/>
      <w:pPr>
        <w:ind w:left="5400" w:hanging="0"/>
      </w:pPr>
      <w:rPr>
        <w:rFonts w:ascii="Garamond" w:hAnsi="Garamond"/>
      </w:rPr>
    </w:lvl>
    <w:lvl w:ilvl="8">
      <w:numFmt w:val="bullet"/>
      <w:suff w:val="tab"/>
      <w:lvlText w:val="◦"/>
      <w:lvlJc w:val="left"/>
      <w:pPr>
        <w:ind w:left="6120" w:hanging="0"/>
      </w:pPr>
      <w:rPr>
        <w:rFonts w:ascii="Garamond" w:hAnsi="Garamond"/>
      </w:rPr>
    </w:lvl>
  </w:abstractNum>
  <w:abstractNum w:abstractNumId="2">
    <w:multiLevelType w:val="hybridMultilevel"/>
    <w:name w:val="Numaralandırılmış liste 2"/>
    <w:lvl w:ilvl="0">
      <w:numFmt w:val="bullet"/>
      <w:suff w:val="tab"/>
      <w:lvlText w:val="◦"/>
      <w:lvlJc w:val="left"/>
      <w:pPr>
        <w:ind w:left="360" w:hanging="0"/>
      </w:pPr>
      <w:rPr>
        <w:rFonts w:ascii="Garamond" w:hAnsi="Garamond"/>
      </w:rPr>
    </w:lvl>
    <w:lvl w:ilvl="1">
      <w:numFmt w:val="bullet"/>
      <w:suff w:val="tab"/>
      <w:lvlText w:val="◦"/>
      <w:lvlJc w:val="left"/>
      <w:pPr>
        <w:ind w:left="1080" w:hanging="0"/>
      </w:pPr>
      <w:rPr>
        <w:rFonts w:ascii="Garamond" w:hAnsi="Garamond"/>
      </w:rPr>
    </w:lvl>
    <w:lvl w:ilvl="2">
      <w:numFmt w:val="bullet"/>
      <w:suff w:val="tab"/>
      <w:lvlText w:val="◦"/>
      <w:lvlJc w:val="left"/>
      <w:pPr>
        <w:ind w:left="1800" w:hanging="0"/>
      </w:pPr>
      <w:rPr>
        <w:rFonts w:ascii="Garamond" w:hAnsi="Garamond"/>
      </w:rPr>
    </w:lvl>
    <w:lvl w:ilvl="3">
      <w:numFmt w:val="bullet"/>
      <w:suff w:val="tab"/>
      <w:lvlText w:val="◦"/>
      <w:lvlJc w:val="left"/>
      <w:pPr>
        <w:ind w:left="2520" w:hanging="0"/>
      </w:pPr>
      <w:rPr>
        <w:rFonts w:ascii="Garamond" w:hAnsi="Garamond"/>
      </w:rPr>
    </w:lvl>
    <w:lvl w:ilvl="4">
      <w:numFmt w:val="bullet"/>
      <w:suff w:val="tab"/>
      <w:lvlText w:val="◦"/>
      <w:lvlJc w:val="left"/>
      <w:pPr>
        <w:ind w:left="3240" w:hanging="0"/>
      </w:pPr>
      <w:rPr>
        <w:rFonts w:ascii="Garamond" w:hAnsi="Garamond"/>
      </w:rPr>
    </w:lvl>
    <w:lvl w:ilvl="5">
      <w:numFmt w:val="bullet"/>
      <w:suff w:val="tab"/>
      <w:lvlText w:val="◦"/>
      <w:lvlJc w:val="left"/>
      <w:pPr>
        <w:ind w:left="3960" w:hanging="0"/>
      </w:pPr>
      <w:rPr>
        <w:rFonts w:ascii="Garamond" w:hAnsi="Garamond"/>
      </w:rPr>
    </w:lvl>
    <w:lvl w:ilvl="6">
      <w:numFmt w:val="bullet"/>
      <w:suff w:val="tab"/>
      <w:lvlText w:val="◦"/>
      <w:lvlJc w:val="left"/>
      <w:pPr>
        <w:ind w:left="4680" w:hanging="0"/>
      </w:pPr>
      <w:rPr>
        <w:rFonts w:ascii="Garamond" w:hAnsi="Garamond"/>
      </w:rPr>
    </w:lvl>
    <w:lvl w:ilvl="7">
      <w:numFmt w:val="bullet"/>
      <w:suff w:val="tab"/>
      <w:lvlText w:val="◦"/>
      <w:lvlJc w:val="left"/>
      <w:pPr>
        <w:ind w:left="5400" w:hanging="0"/>
      </w:pPr>
      <w:rPr>
        <w:rFonts w:ascii="Garamond" w:hAnsi="Garamond"/>
      </w:rPr>
    </w:lvl>
    <w:lvl w:ilvl="8">
      <w:numFmt w:val="bullet"/>
      <w:suff w:val="tab"/>
      <w:lvlText w:val="◦"/>
      <w:lvlJc w:val="left"/>
      <w:pPr>
        <w:ind w:left="6120" w:hanging="0"/>
      </w:pPr>
      <w:rPr>
        <w:rFonts w:ascii="Garamond" w:hAnsi="Garamond"/>
      </w:rPr>
    </w:lvl>
  </w:abstractNum>
  <w:abstractNum w:abstractNumId="3">
    <w:multiLevelType w:val="hybridMultilevel"/>
    <w:name w:val="Numaralandırılmış liste 3"/>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4">
    <w:multiLevelType w:val="hybridMultilevel"/>
    <w:name w:val="Numaralandırılmış liste 4"/>
    <w:lvl w:ilvl="0">
      <w:numFmt w:val="bullet"/>
      <w:suff w:val="tab"/>
      <w:lvlText w:val="◦"/>
      <w:lvlJc w:val="left"/>
      <w:pPr>
        <w:ind w:left="360" w:hanging="0"/>
      </w:pPr>
      <w:rPr>
        <w:rFonts w:ascii="Garamond" w:hAnsi="Garamond"/>
      </w:rPr>
    </w:lvl>
    <w:lvl w:ilvl="1">
      <w:numFmt w:val="bullet"/>
      <w:suff w:val="tab"/>
      <w:lvlText w:val="◦"/>
      <w:lvlJc w:val="left"/>
      <w:pPr>
        <w:ind w:left="1080" w:hanging="0"/>
      </w:pPr>
      <w:rPr>
        <w:rFonts w:ascii="Garamond" w:hAnsi="Garamond"/>
      </w:rPr>
    </w:lvl>
    <w:lvl w:ilvl="2">
      <w:numFmt w:val="bullet"/>
      <w:suff w:val="tab"/>
      <w:lvlText w:val="◦"/>
      <w:lvlJc w:val="left"/>
      <w:pPr>
        <w:ind w:left="1800" w:hanging="0"/>
      </w:pPr>
      <w:rPr>
        <w:rFonts w:ascii="Garamond" w:hAnsi="Garamond"/>
      </w:rPr>
    </w:lvl>
    <w:lvl w:ilvl="3">
      <w:numFmt w:val="bullet"/>
      <w:suff w:val="tab"/>
      <w:lvlText w:val="◦"/>
      <w:lvlJc w:val="left"/>
      <w:pPr>
        <w:ind w:left="2520" w:hanging="0"/>
      </w:pPr>
      <w:rPr>
        <w:rFonts w:ascii="Garamond" w:hAnsi="Garamond"/>
      </w:rPr>
    </w:lvl>
    <w:lvl w:ilvl="4">
      <w:numFmt w:val="bullet"/>
      <w:suff w:val="tab"/>
      <w:lvlText w:val="◦"/>
      <w:lvlJc w:val="left"/>
      <w:pPr>
        <w:ind w:left="3240" w:hanging="0"/>
      </w:pPr>
      <w:rPr>
        <w:rFonts w:ascii="Garamond" w:hAnsi="Garamond"/>
      </w:rPr>
    </w:lvl>
    <w:lvl w:ilvl="5">
      <w:numFmt w:val="bullet"/>
      <w:suff w:val="tab"/>
      <w:lvlText w:val="◦"/>
      <w:lvlJc w:val="left"/>
      <w:pPr>
        <w:ind w:left="3960" w:hanging="0"/>
      </w:pPr>
      <w:rPr>
        <w:rFonts w:ascii="Garamond" w:hAnsi="Garamond"/>
      </w:rPr>
    </w:lvl>
    <w:lvl w:ilvl="6">
      <w:numFmt w:val="bullet"/>
      <w:suff w:val="tab"/>
      <w:lvlText w:val="◦"/>
      <w:lvlJc w:val="left"/>
      <w:pPr>
        <w:ind w:left="4680" w:hanging="0"/>
      </w:pPr>
      <w:rPr>
        <w:rFonts w:ascii="Garamond" w:hAnsi="Garamond"/>
      </w:rPr>
    </w:lvl>
    <w:lvl w:ilvl="7">
      <w:numFmt w:val="bullet"/>
      <w:suff w:val="tab"/>
      <w:lvlText w:val="◦"/>
      <w:lvlJc w:val="left"/>
      <w:pPr>
        <w:ind w:left="5400" w:hanging="0"/>
      </w:pPr>
      <w:rPr>
        <w:rFonts w:ascii="Garamond" w:hAnsi="Garamond"/>
      </w:rPr>
    </w:lvl>
    <w:lvl w:ilvl="8">
      <w:numFmt w:val="bullet"/>
      <w:suff w:val="tab"/>
      <w:lvlText w:val="◦"/>
      <w:lvlJc w:val="left"/>
      <w:pPr>
        <w:ind w:left="6120" w:hanging="0"/>
      </w:pPr>
      <w:rPr>
        <w:rFonts w:ascii="Garamond" w:hAnsi="Garamond"/>
      </w:rPr>
    </w:lvl>
  </w:abstractNum>
  <w:abstractNum w:abstractNumId="5">
    <w:multiLevelType w:val="hybridMultilevel"/>
    <w:name w:val="Numaralandırılmış liste 5"/>
    <w:lvl w:ilvl="0">
      <w:start w:val="1"/>
      <w:numFmt w:val="lowerLetter"/>
      <w:suff w:val="tab"/>
      <w:lvlText w:val="%1)"/>
      <w:lvlJc w:val="left"/>
      <w:pPr>
        <w:ind w:left="60" w:hanging="0"/>
      </w:pPr>
    </w:lvl>
    <w:lvl w:ilvl="1">
      <w:start w:val="1"/>
      <w:numFmt w:val="lowerLetter"/>
      <w:suff w:val="tab"/>
      <w:lvlText w:val="%2."/>
      <w:lvlJc w:val="left"/>
      <w:pPr>
        <w:ind w:left="780" w:hanging="0"/>
      </w:pPr>
    </w:lvl>
    <w:lvl w:ilvl="2">
      <w:start w:val="1"/>
      <w:numFmt w:val="lowerRoman"/>
      <w:suff w:val="tab"/>
      <w:lvlText w:val="%3."/>
      <w:lvlJc w:val="left"/>
      <w:pPr>
        <w:ind w:left="1680" w:hanging="0"/>
      </w:pPr>
    </w:lvl>
    <w:lvl w:ilvl="3">
      <w:start w:val="1"/>
      <w:numFmt w:val="decimal"/>
      <w:suff w:val="tab"/>
      <w:lvlText w:val="%4."/>
      <w:lvlJc w:val="left"/>
      <w:pPr>
        <w:ind w:left="2220" w:hanging="0"/>
      </w:pPr>
    </w:lvl>
    <w:lvl w:ilvl="4">
      <w:start w:val="1"/>
      <w:numFmt w:val="lowerLetter"/>
      <w:suff w:val="tab"/>
      <w:lvlText w:val="%5."/>
      <w:lvlJc w:val="left"/>
      <w:pPr>
        <w:ind w:left="2940" w:hanging="0"/>
      </w:pPr>
    </w:lvl>
    <w:lvl w:ilvl="5">
      <w:start w:val="1"/>
      <w:numFmt w:val="lowerRoman"/>
      <w:suff w:val="tab"/>
      <w:lvlText w:val="%6."/>
      <w:lvlJc w:val="left"/>
      <w:pPr>
        <w:ind w:left="3840" w:hanging="0"/>
      </w:pPr>
    </w:lvl>
    <w:lvl w:ilvl="6">
      <w:start w:val="1"/>
      <w:numFmt w:val="decimal"/>
      <w:suff w:val="tab"/>
      <w:lvlText w:val="%7."/>
      <w:lvlJc w:val="left"/>
      <w:pPr>
        <w:ind w:left="4380" w:hanging="0"/>
      </w:pPr>
    </w:lvl>
    <w:lvl w:ilvl="7">
      <w:start w:val="1"/>
      <w:numFmt w:val="lowerLetter"/>
      <w:suff w:val="tab"/>
      <w:lvlText w:val="%8."/>
      <w:lvlJc w:val="left"/>
      <w:pPr>
        <w:ind w:left="5100" w:hanging="0"/>
      </w:pPr>
    </w:lvl>
    <w:lvl w:ilvl="8">
      <w:start w:val="1"/>
      <w:numFmt w:val="lowerRoman"/>
      <w:suff w:val="tab"/>
      <w:lvlText w:val="%9."/>
      <w:lvlJc w:val="left"/>
      <w:pPr>
        <w:ind w:left="6000" w:hanging="0"/>
      </w:pPr>
    </w:lvl>
  </w:abstractNum>
  <w:abstractNum w:abstractNumId="6">
    <w:multiLevelType w:val="hybridMultilevel"/>
    <w:name w:val="Numaralandırılmış liste 6"/>
    <w:lvl w:ilvl="0">
      <w:numFmt w:val="bullet"/>
      <w:suff w:val="tab"/>
      <w:lvlText w:val=""/>
      <w:lvlJc w:val="left"/>
      <w:pPr>
        <w:ind w:left="360" w:hanging="0"/>
      </w:pPr>
      <w:rPr>
        <w:rFonts w:ascii="Symbol" w:hAnsi="Symbol"/>
        <w:sz w:val="20"/>
      </w:rPr>
    </w:lvl>
    <w:lvl w:ilvl="1">
      <w:numFmt w:val="bullet"/>
      <w:suff w:val="tab"/>
      <w:lvlText w:val=""/>
      <w:lvlJc w:val="left"/>
      <w:pPr>
        <w:ind w:left="1080" w:hanging="0"/>
      </w:pPr>
      <w:rPr>
        <w:rFonts w:ascii="Symbol" w:hAnsi="Symbol"/>
        <w:sz w:val="20"/>
      </w:rPr>
    </w:lvl>
    <w:lvl w:ilvl="2">
      <w:numFmt w:val="bullet"/>
      <w:suff w:val="tab"/>
      <w:lvlText w:val=""/>
      <w:lvlJc w:val="left"/>
      <w:pPr>
        <w:ind w:left="1800" w:hanging="0"/>
      </w:pPr>
      <w:rPr>
        <w:rFonts w:ascii="Symbol" w:hAnsi="Symbol"/>
        <w:sz w:val="20"/>
      </w:rPr>
    </w:lvl>
    <w:lvl w:ilvl="3">
      <w:numFmt w:val="bullet"/>
      <w:suff w:val="tab"/>
      <w:lvlText w:val=""/>
      <w:lvlJc w:val="left"/>
      <w:pPr>
        <w:ind w:left="2520" w:hanging="0"/>
      </w:pPr>
      <w:rPr>
        <w:rFonts w:ascii="Symbol" w:hAnsi="Symbol"/>
        <w:sz w:val="20"/>
      </w:rPr>
    </w:lvl>
    <w:lvl w:ilvl="4">
      <w:numFmt w:val="bullet"/>
      <w:suff w:val="tab"/>
      <w:lvlText w:val=""/>
      <w:lvlJc w:val="left"/>
      <w:pPr>
        <w:ind w:left="3240" w:hanging="0"/>
      </w:pPr>
      <w:rPr>
        <w:rFonts w:ascii="Symbol" w:hAnsi="Symbol"/>
        <w:sz w:val="20"/>
      </w:rPr>
    </w:lvl>
    <w:lvl w:ilvl="5">
      <w:numFmt w:val="bullet"/>
      <w:suff w:val="tab"/>
      <w:lvlText w:val=""/>
      <w:lvlJc w:val="left"/>
      <w:pPr>
        <w:ind w:left="3960" w:hanging="0"/>
      </w:pPr>
      <w:rPr>
        <w:rFonts w:ascii="Symbol" w:hAnsi="Symbol"/>
        <w:sz w:val="20"/>
      </w:rPr>
    </w:lvl>
    <w:lvl w:ilvl="6">
      <w:numFmt w:val="bullet"/>
      <w:suff w:val="tab"/>
      <w:lvlText w:val=""/>
      <w:lvlJc w:val="left"/>
      <w:pPr>
        <w:ind w:left="4680" w:hanging="0"/>
      </w:pPr>
      <w:rPr>
        <w:rFonts w:ascii="Symbol" w:hAnsi="Symbol"/>
        <w:sz w:val="20"/>
      </w:rPr>
    </w:lvl>
    <w:lvl w:ilvl="7">
      <w:numFmt w:val="bullet"/>
      <w:suff w:val="tab"/>
      <w:lvlText w:val=""/>
      <w:lvlJc w:val="left"/>
      <w:pPr>
        <w:ind w:left="5400" w:hanging="0"/>
      </w:pPr>
      <w:rPr>
        <w:rFonts w:ascii="Symbol" w:hAnsi="Symbol"/>
        <w:sz w:val="20"/>
      </w:rPr>
    </w:lvl>
    <w:lvl w:ilvl="8">
      <w:numFmt w:val="bullet"/>
      <w:suff w:val="tab"/>
      <w:lvlText w:val=""/>
      <w:lvlJc w:val="left"/>
      <w:pPr>
        <w:ind w:left="6120" w:hanging="0"/>
      </w:pPr>
      <w:rPr>
        <w:rFonts w:ascii="Symbol" w:hAnsi="Symbol"/>
        <w:sz w:val="20"/>
      </w:rPr>
    </w:lvl>
  </w:abstractNum>
  <w:abstractNum w:abstractNumId="7">
    <w:multiLevelType w:val="hybridMultilevel"/>
    <w:name w:val="Numaralandırılmış liste 7"/>
    <w:lvl w:ilvl="0">
      <w:start w:val="1"/>
      <w:numFmt w:val="lowerLetter"/>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8">
    <w:multiLevelType w:val="hybridMultilevel"/>
    <w:name w:val="Numaralandırılmış liste 8"/>
    <w:lvl w:ilvl="0">
      <w:numFmt w:val="bullet"/>
      <w:suff w:val="tab"/>
      <w:lvlText w:val="◦"/>
      <w:lvlJc w:val="left"/>
      <w:pPr>
        <w:ind w:left="360" w:hanging="0"/>
      </w:pPr>
      <w:rPr>
        <w:rFonts w:ascii="Garamond" w:hAnsi="Garamond"/>
      </w:rPr>
    </w:lvl>
    <w:lvl w:ilvl="1">
      <w:numFmt w:val="bullet"/>
      <w:suff w:val="tab"/>
      <w:lvlText w:val="◦"/>
      <w:lvlJc w:val="left"/>
      <w:pPr>
        <w:ind w:left="1080" w:hanging="0"/>
      </w:pPr>
      <w:rPr>
        <w:rFonts w:ascii="Garamond" w:hAnsi="Garamond"/>
      </w:rPr>
    </w:lvl>
    <w:lvl w:ilvl="2">
      <w:numFmt w:val="bullet"/>
      <w:suff w:val="tab"/>
      <w:lvlText w:val="◦"/>
      <w:lvlJc w:val="left"/>
      <w:pPr>
        <w:ind w:left="1800" w:hanging="0"/>
      </w:pPr>
      <w:rPr>
        <w:rFonts w:ascii="Garamond" w:hAnsi="Garamond"/>
      </w:rPr>
    </w:lvl>
    <w:lvl w:ilvl="3">
      <w:numFmt w:val="bullet"/>
      <w:suff w:val="tab"/>
      <w:lvlText w:val="◦"/>
      <w:lvlJc w:val="left"/>
      <w:pPr>
        <w:ind w:left="2520" w:hanging="0"/>
      </w:pPr>
      <w:rPr>
        <w:rFonts w:ascii="Garamond" w:hAnsi="Garamond"/>
      </w:rPr>
    </w:lvl>
    <w:lvl w:ilvl="4">
      <w:numFmt w:val="bullet"/>
      <w:suff w:val="tab"/>
      <w:lvlText w:val="◦"/>
      <w:lvlJc w:val="left"/>
      <w:pPr>
        <w:ind w:left="3240" w:hanging="0"/>
      </w:pPr>
      <w:rPr>
        <w:rFonts w:ascii="Garamond" w:hAnsi="Garamond"/>
      </w:rPr>
    </w:lvl>
    <w:lvl w:ilvl="5">
      <w:numFmt w:val="bullet"/>
      <w:suff w:val="tab"/>
      <w:lvlText w:val="◦"/>
      <w:lvlJc w:val="left"/>
      <w:pPr>
        <w:ind w:left="3960" w:hanging="0"/>
      </w:pPr>
      <w:rPr>
        <w:rFonts w:ascii="Garamond" w:hAnsi="Garamond"/>
      </w:rPr>
    </w:lvl>
    <w:lvl w:ilvl="6">
      <w:numFmt w:val="bullet"/>
      <w:suff w:val="tab"/>
      <w:lvlText w:val="◦"/>
      <w:lvlJc w:val="left"/>
      <w:pPr>
        <w:ind w:left="4680" w:hanging="0"/>
      </w:pPr>
      <w:rPr>
        <w:rFonts w:ascii="Garamond" w:hAnsi="Garamond"/>
      </w:rPr>
    </w:lvl>
    <w:lvl w:ilvl="7">
      <w:numFmt w:val="bullet"/>
      <w:suff w:val="tab"/>
      <w:lvlText w:val="◦"/>
      <w:lvlJc w:val="left"/>
      <w:pPr>
        <w:ind w:left="5400" w:hanging="0"/>
      </w:pPr>
      <w:rPr>
        <w:rFonts w:ascii="Garamond" w:hAnsi="Garamond"/>
      </w:rPr>
    </w:lvl>
    <w:lvl w:ilvl="8">
      <w:numFmt w:val="bullet"/>
      <w:suff w:val="tab"/>
      <w:lvlText w:val="◦"/>
      <w:lvlJc w:val="left"/>
      <w:pPr>
        <w:ind w:left="6120" w:hanging="0"/>
      </w:pPr>
      <w:rPr>
        <w:rFonts w:ascii="Garamond" w:hAnsi="Garamond"/>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08"/>
  <w:autoHyphenation w:val="0"/>
  <w:doNotShadeFormData w:val="0"/>
  <w:captions>
    <w:caption w:name="Tablo" w:pos="below" w:numFmt="decimal"/>
    <w:caption w:name="Şekil" w:pos="below" w:numFmt="decimal"/>
    <w:caption w:name="Resim"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compatSetting w:name="compatibilityMode" w:uri="http://schemas.microsoft.com/office/word" w:val="15"/>
  <w:shapeDefaults>
    <o:shapedefaults v:ext="edit" spidmax="1026"/>
    <o:shapelayout v:ext="edit">
      <o:rules v:ext="edit"/>
    </o:shapelayout>
  </w:shapeDefaults>
  <w:tmPrefOne w:val="17"/>
  <w:tmPrefTwo w:val="1"/>
  <w:tmFmtPref w:val="55065707"/>
  <w:tmCommentsPr>
    <w:tmCommentsPlace w:val="0"/>
    <w:tmCommentsWidth w:val="3119"/>
    <w:tmCommentsColor w:val="-1"/>
  </w:tmCommentsPr>
  <w:tmReviewPr>
    <w:tmReviewEnabled w:val="0"/>
    <w:tmReviewShow w:val="1"/>
    <w:tmReviewPrint w:val="0"/>
    <w:tmRevisionNum w:val="46"/>
    <w:tmReviewMarkIns w:val="4"/>
    <w:tmReviewColorIns w:val="-1"/>
    <w:tmReviewMarkDel w:val="6"/>
    <w:tmReviewColorDel w:val="-1"/>
    <w:tmReviewMarkFmt w:val="1"/>
    <w:tmReviewColorFmt w:val="-1"/>
    <w:tmReviewMarkLn w:val="1"/>
    <w:tmReviewColorLn w:val="0"/>
    <w:tmReviewToolTip w:val="1"/>
  </w:tmReviewPr>
  <w:tmLastPos>
    <w:tmLastPosPage w:val="7"/>
    <w:tmLastPosSelect w:val="0"/>
    <w:tmLastPosFrameIdx w:val="0"/>
    <w:tmLastPosCaret>
      <w:tmLastPosPgfIdx w:val="133"/>
      <w:tmLastPosIdx w:val="24"/>
    </w:tmLastPosCaret>
    <w:tmLastPosAnchor>
      <w:tmLastPosPgfIdx w:val="0"/>
      <w:tmLastPosIdx w:val="0"/>
    </w:tmLastPosAnchor>
    <w:tmLastPosTblRect w:left="0" w:top="0" w:right="0" w:bottom="0"/>
  </w:tmLastPos>
  <w:tmAppRevision w:date="1613826645" w:val="982" w:fileVer="342" w:fileVerOS="4"/>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Times New Roman"/>
        <w:sz w:val="22"/>
        <w:szCs w:val="22"/>
        <w:lang w:val="tr-tr" w:eastAsia="zh-cn" w:bidi="ar-sa"/>
      </w:rPr>
    </w:rPrDefault>
    <w:pPrDefault>
      <w:pPr>
        <w:spacing w:after="200"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List Paragraph"/>
    <w:qFormat/>
    <w:basedOn w:val="para0"/>
    <w:pPr>
      <w:ind w:left="720"/>
      <w:contextualSpacing/>
    </w:pPr>
  </w:style>
  <w:style w:type="paragraph" w:styleId="para2">
    <w:name w:val="No Spacing"/>
    <w:qFormat/>
    <w:pPr>
      <w:spacing w:after="0" w:line="240" w:lineRule="auto"/>
    </w:pPr>
    <w:rPr>
      <w:rFonts w:ascii="Calibri" w:hAnsi="Calibri" w:eastAsia="Calibri"/>
      <w:sz w:val="22"/>
      <w:szCs w:val="22"/>
      <w:lang w:val="tr-tr" w:bidi="ar-sa"/>
    </w:rPr>
  </w:style>
  <w:style w:type="character" w:styleId="char0" w:default="1">
    <w:name w:val="Default Paragraph Font"/>
  </w:style>
  <w:style w:type="character" w:styleId="char1">
    <w:name w:val="Hyperlink"/>
    <w:rPr>
      <w:color w:val="0000ff"/>
      <w:u w:color="auto" w:val="single"/>
    </w:rPr>
  </w:style>
  <w:style w:type="table" w:default="1" w:styleId="TableNormal">
    <w:name w:val="Normal tablo"/>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hAnsi="Calibri" w:eastAsia="Calibri" w:cs="Times New Roman"/>
        <w:sz w:val="22"/>
        <w:szCs w:val="22"/>
        <w:lang w:val="tr-tr" w:eastAsia="zh-cn" w:bidi="ar-sa"/>
      </w:rPr>
    </w:rPrDefault>
    <w:pPrDefault>
      <w:pPr>
        <w:spacing w:after="200"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List Paragraph"/>
    <w:qFormat/>
    <w:basedOn w:val="para0"/>
    <w:pPr>
      <w:ind w:left="720"/>
      <w:contextualSpacing/>
    </w:pPr>
  </w:style>
  <w:style w:type="paragraph" w:styleId="para2">
    <w:name w:val="No Spacing"/>
    <w:qFormat/>
    <w:pPr>
      <w:spacing w:after="0" w:line="240" w:lineRule="auto"/>
    </w:pPr>
    <w:rPr>
      <w:rFonts w:ascii="Calibri" w:hAnsi="Calibri" w:eastAsia="Calibri"/>
      <w:sz w:val="22"/>
      <w:szCs w:val="22"/>
      <w:lang w:val="tr-tr" w:bidi="ar-sa"/>
    </w:rPr>
  </w:style>
  <w:style w:type="character" w:styleId="char0" w:default="1">
    <w:name w:val="Default Paragraph Font"/>
  </w:style>
  <w:style w:type="character" w:styleId="char1">
    <w:name w:val="Hyperlink"/>
    <w:rPr>
      <w:color w:val="0000ff"/>
      <w:u w:color="auto" w:val="single"/>
    </w:rPr>
  </w:style>
  <w:style w:type="table" w:default="1" w:styleId="TableNormal">
    <w:name w:val="Normal tablo"/>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rev.982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hünkar</dc:creator>
  <cp:keywords/>
  <dc:description/>
  <cp:lastModifiedBy/>
  <cp:revision>46</cp:revision>
  <dcterms:created xsi:type="dcterms:W3CDTF">2021-02-18T16:42:00Z</dcterms:created>
  <dcterms:modified xsi:type="dcterms:W3CDTF">2021-02-20T13:10:45Z</dcterms:modified>
</cp:coreProperties>
</file>