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TÜRKÇE DERSİ SENE BAŞI ZÜMRE TOPLANTI TUTANAĞI</w:t>
      </w:r>
    </w:p>
    <w:p>
      <w:pPr>
        <w:jc w:val="center"/>
        <w:spacing w:after="120"/>
      </w:pPr>
      <w:r>
        <w:rPr>
          <w:rFonts w:ascii="Times New Roman" w:hAnsi="Times New Roman" w:eastAsia="Times New Roman" w:cs="Times New Roman"/>
          <w:sz w:val="26"/>
          <w:szCs w:val="26"/>
          <w:b w:val="1"/>
          <w:bCs w:val="1"/>
        </w:rPr>
        <w:t xml:space="preserve">.......................................................MÜDÜRLÜĞÜNE</w:t>
      </w:r>
    </w:p>
    <w:p/>
    <w:p>
      <w:pPr>
        <w:jc w:val="both"/>
        <w:spacing w:after="120"/>
      </w:pPr>
      <w:r>
        <w:rPr>
          <w:rFonts w:ascii="Times New Roman" w:hAnsi="Times New Roman" w:eastAsia="Times New Roman" w:cs="Times New Roman"/>
          <w:sz w:val="24"/>
          <w:szCs w:val="24"/>
        </w:rPr>
        <w:t xml:space="preserve">2026-2027 Eğitim-Öğretim Yılı Türkçe Dersi Sene Başı Zümre Toplantısı .... / .... / 20.... tarihinde saat ....'te aşağıdaki gündem maddelerini görüşmek üzere Öğretmenler Odasında Zümre Başkanı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başkanlığında yapılacaktır.</w:t>
      </w:r>
    </w:p>
    <w:p>
      <w:pPr>
        <w:jc w:val="both"/>
        <w:spacing w:after="120"/>
      </w:pPr>
      <w:r>
        <w:rPr>
          <w:rFonts w:ascii="Times New Roman" w:hAnsi="Times New Roman" w:eastAsia="Times New Roman" w:cs="Times New Roman"/>
          <w:sz w:val="24"/>
          <w:szCs w:val="24"/>
        </w:rPr>
        <w:t xml:space="preserve">Gereğini bilgilerinize arz ederim.</w:t>
      </w:r>
    </w:p>
    <w:p>
      <w:pPr>
        <w:jc w:val="right"/>
        <w:spacing w:before="180" w:after="0"/>
      </w:pPr>
      <w:r>
        <w:rPr>
          <w:rFonts w:ascii="Times New Roman" w:hAnsi="Times New Roman" w:eastAsia="Times New Roman" w:cs="Times New Roman"/>
          <w:sz w:val="24"/>
          <w:szCs w:val="24"/>
          <w:b w:val="1"/>
          <w:bCs w:val="1"/>
        </w:rPr>
        <w:t xml:space="preserve">Öğretmen1</w:t>
      </w:r>
    </w:p>
    <w:p>
      <w:pPr>
        <w:jc w:val="right"/>
        <w:spacing w:after="0"/>
      </w:pPr>
      <w:r>
        <w:rPr>
          <w:rFonts w:ascii="Times New Roman" w:hAnsi="Times New Roman" w:eastAsia="Times New Roman" w:cs="Times New Roman"/>
          <w:sz w:val="24"/>
          <w:szCs w:val="24"/>
        </w:rPr>
        <w:t xml:space="preserve">Zümre Başkanı</w:t>
      </w:r>
    </w:p>
    <w:p/>
    <w:p>
      <w:pPr>
        <w:jc w:val="center"/>
        <w:spacing w:before="120" w:after="160"/>
      </w:pPr>
      <w:r>
        <w:rPr>
          <w:rFonts w:ascii="Times New Roman" w:hAnsi="Times New Roman" w:eastAsia="Times New Roman" w:cs="Times New Roman"/>
          <w:sz w:val="26"/>
          <w:szCs w:val="26"/>
          <w:b w:val="1"/>
          <w:bCs w:val="1"/>
        </w:rPr>
        <w:t xml:space="preserve">GÜNDEM MADDELERİ</w:t>
      </w:r>
    </w:p>
    <w:p>
      <w:pPr>
        <w:jc w:val="left"/>
        <w:spacing w:after="100"/>
      </w:pPr>
      <w:r>
        <w:rPr>
          <w:rFonts w:ascii="Times New Roman" w:hAnsi="Times New Roman" w:eastAsia="Times New Roman" w:cs="Times New Roman"/>
          <w:sz w:val="24"/>
          <w:szCs w:val="24"/>
        </w:rPr>
        <w:t xml:space="preserve">1) Açılış Ve Yoklama</w:t>
      </w:r>
    </w:p>
    <w:p>
      <w:pPr>
        <w:jc w:val="left"/>
        <w:spacing w:after="100"/>
      </w:pPr>
      <w:r>
        <w:rPr>
          <w:rFonts w:ascii="Times New Roman" w:hAnsi="Times New Roman" w:eastAsia="Times New Roman" w:cs="Times New Roman"/>
          <w:sz w:val="24"/>
          <w:szCs w:val="24"/>
        </w:rPr>
        <w:t xml:space="preserve">2) Toplantı Gündeminin Okunması</w:t>
      </w:r>
    </w:p>
    <w:p>
      <w:pPr>
        <w:jc w:val="left"/>
        <w:spacing w:after="100"/>
      </w:pPr>
      <w:r>
        <w:rPr>
          <w:rFonts w:ascii="Times New Roman" w:hAnsi="Times New Roman" w:eastAsia="Times New Roman" w:cs="Times New Roman"/>
          <w:sz w:val="24"/>
          <w:szCs w:val="24"/>
        </w:rPr>
        <w:t xml:space="preserve">3) Önceki Toplantıda Alınan Kararların Değerlendirilmesi</w:t>
      </w:r>
    </w:p>
    <w:p>
      <w:pPr>
        <w:jc w:val="left"/>
        <w:spacing w:after="100"/>
      </w:pPr>
      <w:r>
        <w:rPr>
          <w:rFonts w:ascii="Times New Roman" w:hAnsi="Times New Roman" w:eastAsia="Times New Roman" w:cs="Times New Roman"/>
          <w:sz w:val="24"/>
          <w:szCs w:val="24"/>
        </w:rPr>
        <w:t xml:space="preserve">4) Zümre Yönergesi, Görev Dağılımı Ve Toplantı İşleyişinin Görüşülmesi</w:t>
      </w:r>
    </w:p>
    <w:p>
      <w:pPr>
        <w:jc w:val="left"/>
        <w:spacing w:after="100"/>
      </w:pPr>
      <w:r>
        <w:rPr>
          <w:rFonts w:ascii="Times New Roman" w:hAnsi="Times New Roman" w:eastAsia="Times New Roman" w:cs="Times New Roman"/>
          <w:sz w:val="24"/>
          <w:szCs w:val="24"/>
        </w:rPr>
        <w:t xml:space="preserve">5) Mevzuattaki Yenilikler, Emir, Genelge Ve Tebliğlerin İncelenmesi</w:t>
      </w:r>
    </w:p>
    <w:p>
      <w:pPr>
        <w:jc w:val="left"/>
        <w:spacing w:after="100"/>
      </w:pPr>
      <w:r>
        <w:rPr>
          <w:rFonts w:ascii="Times New Roman" w:hAnsi="Times New Roman" w:eastAsia="Times New Roman" w:cs="Times New Roman"/>
          <w:sz w:val="24"/>
          <w:szCs w:val="24"/>
        </w:rPr>
        <w:t xml:space="preserve">6) Planlamaların Eğitim Ve Öğretim Mevzuatı, Okulun Amaçları, Öğretim Programı Ve Sınıf Düzeyine Göre Türkiye Yüzyılı Maarif Modeli’ne Uygunluğunun Değerlendirilmesi</w:t>
      </w:r>
    </w:p>
    <w:p>
      <w:pPr>
        <w:jc w:val="left"/>
        <w:spacing w:after="100"/>
      </w:pPr>
      <w:r>
        <w:rPr>
          <w:rFonts w:ascii="Times New Roman" w:hAnsi="Times New Roman" w:eastAsia="Times New Roman" w:cs="Times New Roman"/>
          <w:sz w:val="24"/>
          <w:szCs w:val="24"/>
        </w:rPr>
        <w:t xml:space="preserve">7) 28 Temmuz 2026 Tarihli Ve 33323 Sayılı Resmî Gazete’de Yayımlanan Millî Eğitim Bakanlığı Okul Öncesi Eğitim Ve İlköğretim Kurumları Yönetmeliğinde Değişiklik Yapılmasına Dair Yönetmeliğin İncelenmesi</w:t>
      </w:r>
    </w:p>
    <w:p>
      <w:pPr>
        <w:jc w:val="left"/>
        <w:spacing w:after="100"/>
      </w:pPr>
      <w:r>
        <w:rPr>
          <w:rFonts w:ascii="Times New Roman" w:hAnsi="Times New Roman" w:eastAsia="Times New Roman" w:cs="Times New Roman"/>
          <w:sz w:val="24"/>
          <w:szCs w:val="24"/>
        </w:rPr>
        <w:t xml:space="preserve">8) Millî Eğitim Bakanlığının 19.08.2026 Tarihli Ve 2026/70 Sayılı “2026-2027 Eğitim Ve Öğretim Yılına İlişkin İş Ve İşlemler” Konulu Genelgesi'nin İncelenmesi</w:t>
      </w:r>
    </w:p>
    <w:p>
      <w:pPr>
        <w:jc w:val="left"/>
        <w:spacing w:after="100"/>
      </w:pPr>
      <w:r>
        <w:rPr>
          <w:rFonts w:ascii="Times New Roman" w:hAnsi="Times New Roman" w:eastAsia="Times New Roman" w:cs="Times New Roman"/>
          <w:sz w:val="24"/>
          <w:szCs w:val="24"/>
        </w:rPr>
        <w:t xml:space="preserve">9) 5, 6 Ve 7. Sınıflarda Uygulanacak Türkiye Yüzyılı Maarif Modeli Kapsamında Öğrenme Çıktıları Ve Ders İçeriklerinin Değerlendirilmesi</w:t>
      </w:r>
    </w:p>
    <w:p>
      <w:pPr>
        <w:jc w:val="left"/>
        <w:spacing w:after="100"/>
      </w:pPr>
      <w:r>
        <w:rPr>
          <w:rFonts w:ascii="Times New Roman" w:hAnsi="Times New Roman" w:eastAsia="Times New Roman" w:cs="Times New Roman"/>
          <w:sz w:val="24"/>
          <w:szCs w:val="24"/>
        </w:rPr>
        <w:t xml:space="preserve">10) Öğretim Programı, Çevre Özellikleri, Tema, Konu, Kazanım Ve Öğrenme Çıktıları, Yıllık Planlar, Ders Planlarının Düzenlenmesi Ve Çalışma Takviminin Görüşülmesi</w:t>
      </w:r>
    </w:p>
    <w:p>
      <w:pPr>
        <w:jc w:val="left"/>
        <w:spacing w:after="100"/>
      </w:pPr>
      <w:r>
        <w:rPr>
          <w:rFonts w:ascii="Times New Roman" w:hAnsi="Times New Roman" w:eastAsia="Times New Roman" w:cs="Times New Roman"/>
          <w:sz w:val="24"/>
          <w:szCs w:val="24"/>
        </w:rPr>
        <w:t xml:space="preserve">11) Atatürkçülük Konuları İle Erdem-Değer-Eylem Çerçevesi Ve Millî, Manevi, Ahlaki Değerler Kapsamında Yapılacak Çalışmaların Planlanması</w:t>
      </w:r>
    </w:p>
    <w:p>
      <w:pPr>
        <w:jc w:val="left"/>
        <w:spacing w:after="100"/>
      </w:pPr>
      <w:r>
        <w:rPr>
          <w:rFonts w:ascii="Times New Roman" w:hAnsi="Times New Roman" w:eastAsia="Times New Roman" w:cs="Times New Roman"/>
          <w:sz w:val="24"/>
          <w:szCs w:val="24"/>
        </w:rPr>
        <w:t xml:space="preserve">12) Öğretim Yöntem Ve Teknikleri İle Okul Temelli Planlama Kapsamında Yapılacak Çalışmaların Görüşülmesi</w:t>
      </w:r>
    </w:p>
    <w:p>
      <w:pPr>
        <w:jc w:val="left"/>
        <w:spacing w:after="100"/>
      </w:pPr>
      <w:r>
        <w:rPr>
          <w:rFonts w:ascii="Times New Roman" w:hAnsi="Times New Roman" w:eastAsia="Times New Roman" w:cs="Times New Roman"/>
          <w:sz w:val="24"/>
          <w:szCs w:val="24"/>
        </w:rPr>
        <w:t xml:space="preserve">13) Öğrenme Çıktıları, Etkinlikler, Öğrenme Kanıtları Ve Ölçme Değerlendirme Araçlarının Görüşülmesi</w:t>
      </w:r>
    </w:p>
    <w:p>
      <w:pPr>
        <w:jc w:val="left"/>
        <w:spacing w:after="100"/>
      </w:pPr>
      <w:r>
        <w:rPr>
          <w:rFonts w:ascii="Times New Roman" w:hAnsi="Times New Roman" w:eastAsia="Times New Roman" w:cs="Times New Roman"/>
          <w:sz w:val="24"/>
          <w:szCs w:val="24"/>
        </w:rPr>
        <w:t xml:space="preserve">14) Sınavların Şekli, Sayısı, Süresi Ve Değerlendirme Esaslarının Belirlenmesi</w:t>
      </w:r>
    </w:p>
    <w:p>
      <w:pPr>
        <w:jc w:val="left"/>
        <w:spacing w:after="100"/>
      </w:pPr>
      <w:r>
        <w:rPr>
          <w:rFonts w:ascii="Times New Roman" w:hAnsi="Times New Roman" w:eastAsia="Times New Roman" w:cs="Times New Roman"/>
          <w:sz w:val="24"/>
          <w:szCs w:val="24"/>
        </w:rPr>
        <w:t xml:space="preserve">15) Ülke, İl, İlçe Ve Okul Geneli Ortak Sınavlar, Mazeret Sınavları Ve Değerlendirme İşlemlerinin Görüşülmesi</w:t>
      </w:r>
    </w:p>
    <w:p>
      <w:pPr>
        <w:jc w:val="left"/>
        <w:spacing w:after="100"/>
      </w:pPr>
      <w:r>
        <w:rPr>
          <w:rFonts w:ascii="Times New Roman" w:hAnsi="Times New Roman" w:eastAsia="Times New Roman" w:cs="Times New Roman"/>
          <w:sz w:val="24"/>
          <w:szCs w:val="24"/>
        </w:rPr>
        <w:t xml:space="preserve">16) Konu Soru Dağılım Tabloları, Sınav Analizleri Ve Kazanım Eksiklerinin Değerlendirilmesi</w:t>
      </w:r>
    </w:p>
    <w:p>
      <w:pPr>
        <w:jc w:val="left"/>
        <w:spacing w:after="100"/>
      </w:pPr>
      <w:r>
        <w:rPr>
          <w:rFonts w:ascii="Times New Roman" w:hAnsi="Times New Roman" w:eastAsia="Times New Roman" w:cs="Times New Roman"/>
          <w:sz w:val="24"/>
          <w:szCs w:val="24"/>
        </w:rPr>
        <w:t xml:space="preserve">17) Soru Ve Cevap Anahtarları, Dereceli Puanlama Anahtarları, Kontrol Listeleri Ve Değerlendirme Ölçeklerinin Görüşülmesi</w:t>
      </w:r>
    </w:p>
    <w:p>
      <w:pPr>
        <w:jc w:val="left"/>
        <w:spacing w:after="100"/>
      </w:pPr>
      <w:r>
        <w:rPr>
          <w:rFonts w:ascii="Times New Roman" w:hAnsi="Times New Roman" w:eastAsia="Times New Roman" w:cs="Times New Roman"/>
          <w:sz w:val="24"/>
          <w:szCs w:val="24"/>
        </w:rPr>
        <w:t xml:space="preserve">18) Sözlü Anlatım, Uygulamalı Etkinlik Ve Ürün Değerlendirme Süreçlerinin Planlanması</w:t>
      </w:r>
    </w:p>
    <w:p>
      <w:pPr>
        <w:jc w:val="left"/>
        <w:spacing w:after="100"/>
      </w:pPr>
      <w:r>
        <w:rPr>
          <w:rFonts w:ascii="Times New Roman" w:hAnsi="Times New Roman" w:eastAsia="Times New Roman" w:cs="Times New Roman"/>
          <w:sz w:val="24"/>
          <w:szCs w:val="24"/>
        </w:rPr>
        <w:t xml:space="preserve">19) Ulusal Ve Uluslararası Sınav, Yarışma Ve Etkinlik Sonuçlarına Yönelik Değerlendirmelerin Görüşülmesi</w:t>
      </w:r>
    </w:p>
    <w:p>
      <w:pPr>
        <w:jc w:val="left"/>
        <w:spacing w:after="100"/>
      </w:pPr>
      <w:r>
        <w:rPr>
          <w:rFonts w:ascii="Times New Roman" w:hAnsi="Times New Roman" w:eastAsia="Times New Roman" w:cs="Times New Roman"/>
          <w:sz w:val="24"/>
          <w:szCs w:val="24"/>
        </w:rPr>
        <w:t xml:space="preserve">20) Lgs Kapsamındaki Sınava Hazırlık, İzleme Ve Destekleme Çalışmalarının Planlanması</w:t>
      </w:r>
    </w:p>
    <w:p>
      <w:pPr>
        <w:jc w:val="left"/>
        <w:spacing w:after="100"/>
      </w:pPr>
      <w:r>
        <w:rPr>
          <w:rFonts w:ascii="Times New Roman" w:hAnsi="Times New Roman" w:eastAsia="Times New Roman" w:cs="Times New Roman"/>
          <w:sz w:val="24"/>
          <w:szCs w:val="24"/>
        </w:rPr>
        <w:t xml:space="preserve">21) Öğrenci Başarı Durumu, Dönem Sonu Değerlendirmeleri, Kazanım Eksikleri, İzleme Ve Destekleyici Eylem Planlarının Görüşülmesi</w:t>
      </w:r>
    </w:p>
    <w:p>
      <w:pPr>
        <w:jc w:val="left"/>
        <w:spacing w:after="100"/>
      </w:pPr>
      <w:r>
        <w:rPr>
          <w:rFonts w:ascii="Times New Roman" w:hAnsi="Times New Roman" w:eastAsia="Times New Roman" w:cs="Times New Roman"/>
          <w:sz w:val="24"/>
          <w:szCs w:val="24"/>
        </w:rPr>
        <w:t xml:space="preserve">22) Performans Görevi, Proje Ve Ürün Değerlendirme Çalışmalarının Görüşülmesi</w:t>
      </w:r>
    </w:p>
    <w:p>
      <w:pPr>
        <w:jc w:val="left"/>
        <w:spacing w:after="100"/>
      </w:pPr>
      <w:r>
        <w:rPr>
          <w:rFonts w:ascii="Times New Roman" w:hAnsi="Times New Roman" w:eastAsia="Times New Roman" w:cs="Times New Roman"/>
          <w:sz w:val="24"/>
          <w:szCs w:val="24"/>
        </w:rPr>
        <w:t xml:space="preserve">23) Öğretim Programı, Okul Ve Çevre Şartlarına Göre Proje, Performans Ve Etkinlik Çalışmalarının Planlanması</w:t>
      </w:r>
    </w:p>
    <w:p>
      <w:pPr>
        <w:jc w:val="left"/>
        <w:spacing w:after="100"/>
      </w:pPr>
      <w:r>
        <w:rPr>
          <w:rFonts w:ascii="Times New Roman" w:hAnsi="Times New Roman" w:eastAsia="Times New Roman" w:cs="Times New Roman"/>
          <w:sz w:val="24"/>
          <w:szCs w:val="24"/>
        </w:rPr>
        <w:t xml:space="preserve">24) Ders Kitapları, Ders Araç Gereçleri, Öğretim Materyalleri, Kaynaklar Ve Bilişim Araçlarının Kullanımının Değerlendirilmesi</w:t>
      </w:r>
    </w:p>
    <w:p>
      <w:pPr>
        <w:jc w:val="left"/>
        <w:spacing w:after="100"/>
      </w:pPr>
      <w:r>
        <w:rPr>
          <w:rFonts w:ascii="Times New Roman" w:hAnsi="Times New Roman" w:eastAsia="Times New Roman" w:cs="Times New Roman"/>
          <w:sz w:val="24"/>
          <w:szCs w:val="24"/>
        </w:rPr>
        <w:t xml:space="preserve">25) Okulun Fiziki Mekânları; Laboratuvar, Kütüphane, Spor Salonu, Atölye Ve Benzeri Eğitim Ortamlarının Kullanımının Planlanması</w:t>
      </w:r>
    </w:p>
    <w:p>
      <w:pPr>
        <w:jc w:val="left"/>
        <w:spacing w:after="100"/>
      </w:pPr>
      <w:r>
        <w:rPr>
          <w:rFonts w:ascii="Times New Roman" w:hAnsi="Times New Roman" w:eastAsia="Times New Roman" w:cs="Times New Roman"/>
          <w:sz w:val="24"/>
          <w:szCs w:val="24"/>
        </w:rPr>
        <w:t xml:space="preserve">26) Okulun Çevre İmkânlarının Analiz Edilmesi Ve Bu İmkânlara Dayalı Gezi, Gözlem, Deney, Araştırma, Anket, Proje Ve Okul Dışı Öğrenme Çalışmalarının Planlanması</w:t>
      </w:r>
    </w:p>
    <w:p>
      <w:pPr>
        <w:jc w:val="left"/>
        <w:spacing w:after="100"/>
      </w:pPr>
      <w:r>
        <w:rPr>
          <w:rFonts w:ascii="Times New Roman" w:hAnsi="Times New Roman" w:eastAsia="Times New Roman" w:cs="Times New Roman"/>
          <w:sz w:val="24"/>
          <w:szCs w:val="24"/>
        </w:rPr>
        <w:t xml:space="preserve">27) Bep, Ders Planları, Özel Eğitim, Farklılaştırılmış Öğretim, Zenginleştirme Ve Destekleme Çalışmalarının Görüşülmesi</w:t>
      </w:r>
    </w:p>
    <w:p>
      <w:pPr>
        <w:jc w:val="left"/>
        <w:spacing w:after="100"/>
      </w:pPr>
      <w:r>
        <w:rPr>
          <w:rFonts w:ascii="Times New Roman" w:hAnsi="Times New Roman" w:eastAsia="Times New Roman" w:cs="Times New Roman"/>
          <w:sz w:val="24"/>
          <w:szCs w:val="24"/>
        </w:rPr>
        <w:t xml:space="preserve">28) En Az Bir Ders Ziyareti, Geri Dönüt, Mesleki Paylaşım Ve Zümreler Arası İş Birliği Çalışmalarının Planlanması</w:t>
      </w:r>
    </w:p>
    <w:p>
      <w:pPr>
        <w:jc w:val="left"/>
        <w:spacing w:after="100"/>
      </w:pPr>
      <w:r>
        <w:rPr>
          <w:rFonts w:ascii="Times New Roman" w:hAnsi="Times New Roman" w:eastAsia="Times New Roman" w:cs="Times New Roman"/>
          <w:sz w:val="24"/>
          <w:szCs w:val="24"/>
        </w:rPr>
        <w:t xml:space="preserve">29) Akademik, Bilimsel Ve Teknolojik Gelişmelerin Derslere Yansıtılmasının Görüşülmesi</w:t>
      </w:r>
    </w:p>
    <w:p>
      <w:pPr>
        <w:jc w:val="left"/>
        <w:spacing w:after="100"/>
      </w:pPr>
      <w:r>
        <w:rPr>
          <w:rFonts w:ascii="Times New Roman" w:hAnsi="Times New Roman" w:eastAsia="Times New Roman" w:cs="Times New Roman"/>
          <w:sz w:val="24"/>
          <w:szCs w:val="24"/>
        </w:rPr>
        <w:t xml:space="preserve">30) Girişimcilik, Araştırma Geliştirme Ve Tasarım Becerilerine Yönelik Çalışmaların Planlanması</w:t>
      </w:r>
    </w:p>
    <w:p>
      <w:pPr>
        <w:jc w:val="left"/>
        <w:spacing w:after="100"/>
      </w:pPr>
      <w:r>
        <w:rPr>
          <w:rFonts w:ascii="Times New Roman" w:hAnsi="Times New Roman" w:eastAsia="Times New Roman" w:cs="Times New Roman"/>
          <w:sz w:val="24"/>
          <w:szCs w:val="24"/>
        </w:rPr>
        <w:t xml:space="preserve">31) Disiplinler Arası Çalışmaların Planlanması</w:t>
      </w:r>
    </w:p>
    <w:p>
      <w:pPr>
        <w:jc w:val="left"/>
        <w:spacing w:after="100"/>
      </w:pPr>
      <w:r>
        <w:rPr>
          <w:rFonts w:ascii="Times New Roman" w:hAnsi="Times New Roman" w:eastAsia="Times New Roman" w:cs="Times New Roman"/>
          <w:sz w:val="24"/>
          <w:szCs w:val="24"/>
        </w:rPr>
        <w:t xml:space="preserve">32) Okuryazarlık Becerileri, Üst Düzey Düşünme Ve Sosyal-Duygusal Öğrenme Becerilerine Yönelik Çalışmaların Planlanması</w:t>
      </w:r>
    </w:p>
    <w:p>
      <w:pPr>
        <w:jc w:val="left"/>
        <w:spacing w:after="100"/>
      </w:pPr>
      <w:r>
        <w:rPr>
          <w:rFonts w:ascii="Times New Roman" w:hAnsi="Times New Roman" w:eastAsia="Times New Roman" w:cs="Times New Roman"/>
          <w:sz w:val="24"/>
          <w:szCs w:val="24"/>
        </w:rPr>
        <w:t xml:space="preserve">33) Öğrencilerin Bedensel, Zihinsel, Duygusal, Sosyal Ve Ahlaki Gelişimine Yönelik Çalışmaların Görüşülmesi</w:t>
      </w:r>
    </w:p>
    <w:p>
      <w:pPr>
        <w:jc w:val="left"/>
        <w:spacing w:after="100"/>
      </w:pPr>
      <w:r>
        <w:rPr>
          <w:rFonts w:ascii="Times New Roman" w:hAnsi="Times New Roman" w:eastAsia="Times New Roman" w:cs="Times New Roman"/>
          <w:sz w:val="24"/>
          <w:szCs w:val="24"/>
        </w:rPr>
        <w:t xml:space="preserve">34) Program Dışı Etkinlikler Kapsamında Sosyal Sorumluluk, Sosyal-Kültürel, Sanatsal Ve Sportif Etkinliklerin Planlanması</w:t>
      </w:r>
    </w:p>
    <w:p>
      <w:pPr>
        <w:jc w:val="left"/>
        <w:spacing w:after="100"/>
      </w:pPr>
      <w:r>
        <w:rPr>
          <w:rFonts w:ascii="Times New Roman" w:hAnsi="Times New Roman" w:eastAsia="Times New Roman" w:cs="Times New Roman"/>
          <w:sz w:val="24"/>
          <w:szCs w:val="24"/>
        </w:rPr>
        <w:t xml:space="preserve">35) Yarışma, Proje Ve Etkinliklere Katılım Çalışmalarının Görüşülmesi</w:t>
      </w:r>
    </w:p>
    <w:p>
      <w:pPr>
        <w:jc w:val="left"/>
        <w:spacing w:after="100"/>
      </w:pPr>
      <w:r>
        <w:rPr>
          <w:rFonts w:ascii="Times New Roman" w:hAnsi="Times New Roman" w:eastAsia="Times New Roman" w:cs="Times New Roman"/>
          <w:sz w:val="24"/>
          <w:szCs w:val="24"/>
        </w:rPr>
        <w:t xml:space="preserve">36) Okul Aile İş Birliği Ve Veli Toplantılarının Planlanması</w:t>
      </w:r>
    </w:p>
    <w:p>
      <w:pPr>
        <w:jc w:val="left"/>
        <w:spacing w:after="100"/>
      </w:pPr>
      <w:r>
        <w:rPr>
          <w:rFonts w:ascii="Times New Roman" w:hAnsi="Times New Roman" w:eastAsia="Times New Roman" w:cs="Times New Roman"/>
          <w:sz w:val="24"/>
          <w:szCs w:val="24"/>
        </w:rPr>
        <w:t xml:space="preserve">37) Önleme, Müdahale Ve Yönlendirme Çalışmalarının Planlanması</w:t>
      </w:r>
    </w:p>
    <w:p>
      <w:pPr>
        <w:jc w:val="left"/>
        <w:spacing w:after="100"/>
      </w:pPr>
      <w:r>
        <w:rPr>
          <w:rFonts w:ascii="Times New Roman" w:hAnsi="Times New Roman" w:eastAsia="Times New Roman" w:cs="Times New Roman"/>
          <w:sz w:val="24"/>
          <w:szCs w:val="24"/>
        </w:rPr>
        <w:t xml:space="preserve">38) Okul İçi Ve Okul Dışı Faaliyetlerde Araç, Gereç, Mali Kaynak Ve Diğer İhtiyaçların Belirlenmesi</w:t>
      </w:r>
    </w:p>
    <w:p>
      <w:pPr>
        <w:jc w:val="left"/>
        <w:spacing w:after="100"/>
      </w:pPr>
      <w:r>
        <w:rPr>
          <w:rFonts w:ascii="Times New Roman" w:hAnsi="Times New Roman" w:eastAsia="Times New Roman" w:cs="Times New Roman"/>
          <w:sz w:val="24"/>
          <w:szCs w:val="24"/>
        </w:rPr>
        <w:t xml:space="preserve">39) İş Sağlığı Ve Güvenliği Tedbirlerinin Değerlendirilmesi</w:t>
      </w:r>
    </w:p>
    <w:p>
      <w:pPr>
        <w:jc w:val="left"/>
        <w:spacing w:after="100"/>
      </w:pPr>
      <w:r>
        <w:rPr>
          <w:rFonts w:ascii="Times New Roman" w:hAnsi="Times New Roman" w:eastAsia="Times New Roman" w:cs="Times New Roman"/>
          <w:sz w:val="24"/>
          <w:szCs w:val="24"/>
        </w:rPr>
        <w:t xml:space="preserve">40) Dilek Ve Temenniler</w:t>
      </w:r>
    </w:p>
    <w:p>
      <w:pPr>
        <w:jc w:val="left"/>
        <w:spacing w:after="100"/>
      </w:pPr>
      <w:r>
        <w:rPr>
          <w:rFonts w:ascii="Times New Roman" w:hAnsi="Times New Roman" w:eastAsia="Times New Roman" w:cs="Times New Roman"/>
          <w:sz w:val="24"/>
          <w:szCs w:val="24"/>
        </w:rPr>
        <w:t xml:space="preserve">41) Kapanış</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TÜRKÇE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GÜNDEM MADDELERİNİN GÖRÜŞÜLMESİ</w:t>
      </w:r>
    </w:p>
    <w:p>
      <w:pPr>
        <w:jc w:val="left"/>
        <w:spacing w:after="80"/>
      </w:pPr>
      <w:r>
        <w:rPr>
          <w:rFonts w:ascii="Times New Roman" w:hAnsi="Times New Roman" w:eastAsia="Times New Roman" w:cs="Times New Roman"/>
          <w:sz w:val="24"/>
          <w:szCs w:val="24"/>
          <w:b w:val="1"/>
          <w:bCs w:val="1"/>
        </w:rPr>
        <w:t xml:space="preserve">1) Açılış Ve Yoklama</w:t>
      </w:r>
    </w:p>
    <w:p>
      <w:pPr>
        <w:jc w:val="both"/>
        <w:spacing w:after="120"/>
      </w:pPr>
      <w:r>
        <w:rPr>
          <w:rFonts w:ascii="Times New Roman" w:hAnsi="Times New Roman" w:eastAsia="Times New Roman" w:cs="Times New Roman"/>
          <w:sz w:val="24"/>
          <w:szCs w:val="24"/>
        </w:rPr>
        <w:t xml:space="preserve">Katılım durumu kontrol edilerek toplantı düzeni sağlandı; Türkçe zümresinin yıl içi çalışma başlıkları için resmî sürece geçildi. Katılımcı listesi kontrol edilerek toplantının usulüne uygun biçimde başlatılması sağlandı. Tutanağın düzenli tutulması ve görüşmelerin belirlenen sıraya göre yürütülmesi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toplantı sürecinin düzenli tutulmasının alınacak kararların izlenmesini kolaylaştıracağını ifade etti.</w:t>
      </w:r>
    </w:p>
    <w:p/>
    <w:p>
      <w:pPr>
        <w:jc w:val="left"/>
        <w:spacing w:after="80"/>
      </w:pPr>
      <w:r>
        <w:rPr>
          <w:rFonts w:ascii="Times New Roman" w:hAnsi="Times New Roman" w:eastAsia="Times New Roman" w:cs="Times New Roman"/>
          <w:sz w:val="24"/>
          <w:szCs w:val="24"/>
          <w:b w:val="1"/>
          <w:bCs w:val="1"/>
        </w:rPr>
        <w:t xml:space="preserve">2) Toplantı Gündeminin Okunması</w:t>
      </w:r>
    </w:p>
    <w:p>
      <w:pPr>
        <w:jc w:val="both"/>
        <w:spacing w:after="120"/>
      </w:pPr>
      <w:r>
        <w:rPr>
          <w:rFonts w:ascii="Times New Roman" w:hAnsi="Times New Roman" w:eastAsia="Times New Roman" w:cs="Times New Roman"/>
          <w:sz w:val="24"/>
          <w:szCs w:val="24"/>
        </w:rPr>
        <w:t xml:space="preserve">Gündem sırası katılımcılara sunuldu; Türkçe dersinde planlama, uygulama, ölçme ve izleme süreçlerinin hangi sırayla yürütüleceği netleştirildi. Gündem maddelerinin kapsamı açıklanarak hangi başlıklarda karar alınacağı öğretmenlerle paylaşıldı. Öncelikli konuların öğretim programı, ölçme değerlendirme, materyal kullanımı ve öğrenci takibi olduğu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gündem sırasına bağlı kalınmasının toplantı verimini artıracağını belirtti.</w:t>
      </w:r>
    </w:p>
    <w:p/>
    <w:p>
      <w:pPr>
        <w:jc w:val="left"/>
        <w:spacing w:after="80"/>
      </w:pPr>
      <w:r>
        <w:rPr>
          <w:rFonts w:ascii="Times New Roman" w:hAnsi="Times New Roman" w:eastAsia="Times New Roman" w:cs="Times New Roman"/>
          <w:sz w:val="24"/>
          <w:szCs w:val="24"/>
          <w:b w:val="1"/>
          <w:bCs w:val="1"/>
        </w:rPr>
        <w:t xml:space="preserve">3) Önceki Toplantıda Alınan Kararların Değerlendirilmesi</w:t>
      </w:r>
    </w:p>
    <w:p>
      <w:pPr>
        <w:jc w:val="both"/>
        <w:spacing w:after="120"/>
      </w:pPr>
      <w:r>
        <w:rPr>
          <w:rFonts w:ascii="Times New Roman" w:hAnsi="Times New Roman" w:eastAsia="Times New Roman" w:cs="Times New Roman"/>
          <w:sz w:val="24"/>
          <w:szCs w:val="24"/>
        </w:rPr>
        <w:t xml:space="preserve">Önceki toplantıda alınan kararların uygulama sonuçları incelenerek tamamlanan, sürdürülen ve güncellenmesi gereken çalışmalar ayrıştırıldı. Önceki kararların sınıf içi uygulamalara yansıyan yönleri, tamamlanan çalışmalar ve sürdürülecek uygulamalar üzerinden incelendi. Devam eden kararların yeni dönem planlamasıyla ilişkilendirilmesi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önceki kararların sonuçlarının yeni dönem planlamalarında dikkate alınması gerektiğini ifade etti.</w:t>
      </w:r>
    </w:p>
    <w:p/>
    <w:p>
      <w:pPr>
        <w:jc w:val="left"/>
        <w:spacing w:after="80"/>
      </w:pPr>
      <w:r>
        <w:rPr>
          <w:rFonts w:ascii="Times New Roman" w:hAnsi="Times New Roman" w:eastAsia="Times New Roman" w:cs="Times New Roman"/>
          <w:sz w:val="24"/>
          <w:szCs w:val="24"/>
          <w:b w:val="1"/>
          <w:bCs w:val="1"/>
        </w:rPr>
        <w:t xml:space="preserve">4) Zümre Yönergesi, Görev Dağılımı Ve Toplantı İşleyişinin Görüşülmesi</w:t>
      </w:r>
    </w:p>
    <w:p>
      <w:pPr>
        <w:jc w:val="both"/>
        <w:spacing w:after="120"/>
      </w:pPr>
      <w:r>
        <w:rPr>
          <w:rFonts w:ascii="Times New Roman" w:hAnsi="Times New Roman" w:eastAsia="Times New Roman" w:cs="Times New Roman"/>
          <w:sz w:val="24"/>
          <w:szCs w:val="24"/>
        </w:rPr>
        <w:t xml:space="preserve">Görev paylaşımı, tutanak düzeni ve toplantı sürecinde izlenecek işleyiş açık biçimde belirlendi. Zümre çalışmalarında görev paylaşımının açık olması, kararların izlenmesini ve sorumlulukların düzenli yürütülmesini kolaylaştıracaktır. Tutanak düzeni, karar takibi ve öğretmenler arası iletişim konusunda ortak usul belirlendi.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görev paylaşımının açık belirlenmesinin dönem içindeki çalışmaları daha düzenli hâle getireceğini belirtti.</w:t>
      </w:r>
    </w:p>
    <w:p/>
    <w:p>
      <w:pPr>
        <w:jc w:val="left"/>
        <w:spacing w:after="80"/>
      </w:pPr>
      <w:r>
        <w:rPr>
          <w:rFonts w:ascii="Times New Roman" w:hAnsi="Times New Roman" w:eastAsia="Times New Roman" w:cs="Times New Roman"/>
          <w:sz w:val="24"/>
          <w:szCs w:val="24"/>
          <w:b w:val="1"/>
          <w:bCs w:val="1"/>
        </w:rPr>
        <w:t xml:space="preserve">5) Mevzuattaki Yenilikler, Emir, Genelge Ve Tebliğlerin İncelenmesi</w:t>
      </w:r>
    </w:p>
    <w:p>
      <w:pPr>
        <w:jc w:val="both"/>
        <w:spacing w:after="120"/>
      </w:pPr>
      <w:r>
        <w:rPr>
          <w:rFonts w:ascii="Times New Roman" w:hAnsi="Times New Roman" w:eastAsia="Times New Roman" w:cs="Times New Roman"/>
          <w:sz w:val="24"/>
          <w:szCs w:val="24"/>
        </w:rPr>
        <w:t xml:space="preserve">Güncel emir, genelge ve tebliğlerin Türkçe dersi uygulamalarına etkisi incelenerek öğretmenlerin dikkat etmesi gereken hususlar belirlendi. Güncel düzenlemelerin ders planlarına, ölçme değerlendirme uygulamalarına ve okul içi işleyişe etkileri üzerinde duruldu. Öğretmenlerin ilgili duyuruları dönem içinde takip etmesi ve gerekli değişiklikleri planlarına yansıtması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mevzuat değişikliklerinin ders planlarına ve ölçme süreçlerine zamanında yansıtılması gerektiğini ifade etti.</w:t>
      </w:r>
    </w:p>
    <w:p/>
    <w:p>
      <w:pPr>
        <w:jc w:val="left"/>
        <w:spacing w:after="80"/>
      </w:pPr>
      <w:r>
        <w:rPr>
          <w:rFonts w:ascii="Times New Roman" w:hAnsi="Times New Roman" w:eastAsia="Times New Roman" w:cs="Times New Roman"/>
          <w:sz w:val="24"/>
          <w:szCs w:val="24"/>
          <w:b w:val="1"/>
          <w:bCs w:val="1"/>
        </w:rPr>
        <w:t xml:space="preserve">6) Planlamaların Eğitim Ve Öğretim Mevzuatı, Okulun Amaçları, Öğretim Programı Ve Sınıf Düzeyine Göre Türkiye Yüzyılı Maarif Modeli’ne Uygunluğunun Değerlendirilmesi</w:t>
      </w:r>
    </w:p>
    <w:p>
      <w:pPr>
        <w:jc w:val="both"/>
        <w:spacing w:after="120"/>
      </w:pPr>
      <w:r>
        <w:rPr>
          <w:rFonts w:ascii="Times New Roman" w:hAnsi="Times New Roman" w:eastAsia="Times New Roman" w:cs="Times New Roman"/>
          <w:sz w:val="24"/>
          <w:szCs w:val="24"/>
        </w:rPr>
        <w:t xml:space="preserve">Yıllık ve dönemlik planlamalarda okulun amaçları, öğretim programı, sınıf düzeyi ve Türkiye Yüzyılı Maarif Modeli doğrultusunda uyulacak esaslar netleştirildi. Yıllık planların okulun imkânları, sınıf düzeyleri ve öğretim programındaki öğrenme çıktılarıyla uyumlu hazırlanması gerektiği belirtildi. Türkiye Yüzyılı Maarif Modeli kapsamındaki beceri ve değer boyutlarının ders sürecine dengeli biçimde yansıtılması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planlamaların program hedefleri ve sınıf düzeyi gereklilikleriyle uyumlu yürütülmesi gerektiğini belirtti.</w:t>
      </w:r>
    </w:p>
    <w:p/>
    <w:p>
      <w:pPr>
        <w:jc w:val="left"/>
        <w:spacing w:after="80"/>
      </w:pPr>
      <w:r>
        <w:rPr>
          <w:rFonts w:ascii="Times New Roman" w:hAnsi="Times New Roman" w:eastAsia="Times New Roman" w:cs="Times New Roman"/>
          <w:sz w:val="24"/>
          <w:szCs w:val="24"/>
          <w:b w:val="1"/>
          <w:bCs w:val="1"/>
        </w:rPr>
        <w:t xml:space="preserve">7) 28 Temmuz 2026 Tarihli Ve 33323 Sayılı Resmî Gazete’de Yayımlanan Millî Eğitim Bakanlığı Okul Öncesi Eğitim Ve İlköğretim Kurumları Yönetmeliğinde Değişiklik Yapılmasına Dair Yönetmeliğin İncelenmesi</w:t>
      </w:r>
    </w:p>
    <w:p>
      <w:pPr>
        <w:jc w:val="both"/>
        <w:spacing w:after="120"/>
      </w:pPr>
      <w:r>
        <w:rPr>
          <w:rFonts w:ascii="Times New Roman" w:hAnsi="Times New Roman" w:eastAsia="Times New Roman" w:cs="Times New Roman"/>
          <w:sz w:val="24"/>
          <w:szCs w:val="24"/>
        </w:rPr>
        <w:t xml:space="preserve">28 Temmuz 2026 tarihli ve 33323 sayılı Resmî Gazete’de yayımlanan Millî Eğitim Bakanlığı Okul Öncesi Eğitim ve İlköğretim Kurumları Yönetmeliğinde Değişiklik Yapılmasına Dair Yönetmelik incelendi. Yönetmelikte zümre öğretmenler kurulunda; öğretim programı, Erdem-Değer-Eylem Çerçevesinde öğrencilerin edinecekleri değerler, okuryazarlık becerileri, sosyal-duygusal öğrenme becerileri, program dışı etkinlikler, okul temelli planlama kapsamında yapılacak çalışmalar, farklılaştırılmış öğretim, ders planlarının düzenlenmesi, öğretim yöntem ve teknikleri, ölçme-değerlendirme araçları, öğrencilerin başarı ve gelişim düzeyi ile okulun fiziki mekânlarının ve ders araç gereçlerinin kullanımının görüşülmesi gerektiği değerlendirildi. Ayrıca okulun çevre imkânlarının analiz edilmesi ve eğitim-öğretim çalışmalarında gerekli iş birliğinin sağlanması gerektiği üzerinde duruldu. Mevcut zümre gündem maddelerinin söz konusu düzenlemeler doğrultusunda yürütülmesi benimsendi.</w:t>
      </w:r>
    </w:p>
    <w:p/>
    <w:p>
      <w:pPr>
        <w:jc w:val="left"/>
        <w:spacing w:after="80"/>
      </w:pPr>
      <w:r>
        <w:rPr>
          <w:rFonts w:ascii="Times New Roman" w:hAnsi="Times New Roman" w:eastAsia="Times New Roman" w:cs="Times New Roman"/>
          <w:sz w:val="24"/>
          <w:szCs w:val="24"/>
          <w:b w:val="1"/>
          <w:bCs w:val="1"/>
        </w:rPr>
        <w:t xml:space="preserve">8) Millî Eğitim Bakanlığının 19.08.2026 Tarihli Ve 2026/70 Sayılı “2026-2027 Eğitim Ve Öğretim Yılına İlişkin İş Ve İşlemler” Konulu Genelgesi'nin İncelenmesi</w:t>
      </w:r>
    </w:p>
    <w:p>
      <w:pPr>
        <w:jc w:val="both"/>
        <w:spacing w:after="120"/>
      </w:pPr>
      <w:r>
        <w:rPr>
          <w:rFonts w:ascii="Times New Roman" w:hAnsi="Times New Roman" w:eastAsia="Times New Roman" w:cs="Times New Roman"/>
          <w:sz w:val="24"/>
          <w:szCs w:val="24"/>
        </w:rPr>
        <w:t xml:space="preserve">Millî Eğitim Bakanlığının 19.08.2026 tarihli ve 2026/70 sayılı “2026-2027 Eğitim ve Öğretim Yılına İlişkin İş ve İşlemler” konulu Genelgesi zümre öğretmenlerince incelendi. Genelgede yer alan Türkiye Yüzyılı Maarif Modeli’nin uygulanması, eğitim öğretim faaliyetlerinin planlı ve etkin yürütülmesi, ölçme ve değerlendirme uygulamaları, öğrenci gelişiminin izlenmesi, Bakanlıkça hazırlanan dijital eğitim platformlarının etkin kullanılması ve eğitim süreçlerinde uygulama birliğinin sağlanmasına ilişkin hususlar görüşüldü.</w:t>
      </w:r>
    </w:p>
    <w:p/>
    <w:p>
      <w:pPr>
        <w:jc w:val="left"/>
        <w:spacing w:after="80"/>
      </w:pPr>
      <w:r>
        <w:rPr>
          <w:rFonts w:ascii="Times New Roman" w:hAnsi="Times New Roman" w:eastAsia="Times New Roman" w:cs="Times New Roman"/>
          <w:sz w:val="24"/>
          <w:szCs w:val="24"/>
          <w:b w:val="1"/>
          <w:bCs w:val="1"/>
        </w:rPr>
        <w:t xml:space="preserve">9) 5, 6 Ve 7. Sınıflarda Uygulanacak Türkiye Yüzyılı Maarif Modeli Kapsamında Öğrenme Çıktıları Ve Ders İçeriklerinin Değerlendirilmesi</w:t>
      </w:r>
    </w:p>
    <w:p>
      <w:pPr>
        <w:jc w:val="both"/>
        <w:spacing w:after="120"/>
      </w:pPr>
      <w:r>
        <w:rPr>
          <w:rFonts w:ascii="Times New Roman" w:hAnsi="Times New Roman" w:eastAsia="Times New Roman" w:cs="Times New Roman"/>
          <w:sz w:val="24"/>
          <w:szCs w:val="24"/>
        </w:rPr>
        <w:t xml:space="preserve">5, 6 ve 7. sınıf düzeylerinde Türkçe dersi öğrenme çıktıları, içerik sıralaması ve sınıf içi uygulamalar arasında tutarlılık kurulması gerektiği belirtildi. Bu sınıf düzeylerinde öğrenme çıktılarının, ders içeriklerinin ve etkinliklerin birbiriyle uyumlu ilerlemesi önem taşımaktadır. Geçiş sürecinde öğretmenlerin uygulama örneklerini paylaşması ve ihtiyaç duyulan materyalleri birlikte geliştirmesi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planlamaların program hedefleri ve sınıf düzeyi gereklilikleriyle uyumlu yürütülmesi gerektiğini belirtti.</w:t>
      </w:r>
    </w:p>
    <w:p/>
    <w:p>
      <w:pPr>
        <w:jc w:val="left"/>
        <w:spacing w:after="80"/>
      </w:pPr>
      <w:r>
        <w:rPr>
          <w:rFonts w:ascii="Times New Roman" w:hAnsi="Times New Roman" w:eastAsia="Times New Roman" w:cs="Times New Roman"/>
          <w:sz w:val="24"/>
          <w:szCs w:val="24"/>
          <w:b w:val="1"/>
          <w:bCs w:val="1"/>
        </w:rPr>
        <w:t xml:space="preserve">10) Öğretim Programı, Çevre Özellikleri, Tema, Konu, Kazanım Ve Öğrenme Çıktıları, Yıllık Planlar, Ders Planlarının Düzenlenmesi Ve Çalışma Takviminin Görüşülmesi</w:t>
      </w:r>
    </w:p>
    <w:p>
      <w:pPr>
        <w:jc w:val="both"/>
        <w:spacing w:after="120"/>
      </w:pPr>
      <w:r>
        <w:rPr>
          <w:rFonts w:ascii="Times New Roman" w:hAnsi="Times New Roman" w:eastAsia="Times New Roman" w:cs="Times New Roman"/>
          <w:sz w:val="24"/>
          <w:szCs w:val="24"/>
        </w:rPr>
        <w:t xml:space="preserve">Türkçe öğretim programındaki tema, konu, kazanım ve öğrenme çıktıları ile yıllık planlar, ders planları ve çalışma takvimi birlikte değerlendirildi. Okulun ve çevrenin özellikleri ile öğrencilerin hazırbulunuşluk düzeylerinin planlamalarda dikkate alınması gerektiği belirtildi. Ders planlarının öğretim programı ve çalışma takvimiyle uyumlu biçimde düzenlenmesi, ihtiyaç hâlinde öğrenci düzeyine göre gerekli uyarlamaların yapılması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planlamaların program hedefleri, çevre şartları ve sınıf düzeyi dikkate alınarak yürütülmesi gerektiğini ifade etti.</w:t>
      </w:r>
    </w:p>
    <w:p/>
    <w:p>
      <w:pPr>
        <w:jc w:val="left"/>
        <w:spacing w:after="80"/>
      </w:pPr>
      <w:r>
        <w:rPr>
          <w:rFonts w:ascii="Times New Roman" w:hAnsi="Times New Roman" w:eastAsia="Times New Roman" w:cs="Times New Roman"/>
          <w:sz w:val="24"/>
          <w:szCs w:val="24"/>
          <w:b w:val="1"/>
          <w:bCs w:val="1"/>
        </w:rPr>
        <w:t xml:space="preserve">11) Atatürkçülük Konuları İle Erdem-Değer-Eylem Çerçevesi Ve Millî, Manevi, Ahlaki Değerler Kapsamında Yapılacak Çalışmaların Planlanması</w:t>
      </w:r>
    </w:p>
    <w:p>
      <w:pPr>
        <w:jc w:val="both"/>
        <w:spacing w:after="120"/>
      </w:pPr>
      <w:r>
        <w:rPr>
          <w:rFonts w:ascii="Times New Roman" w:hAnsi="Times New Roman" w:eastAsia="Times New Roman" w:cs="Times New Roman"/>
          <w:sz w:val="24"/>
          <w:szCs w:val="24"/>
        </w:rPr>
        <w:t xml:space="preserve">Atatürkçülük konuları ile öğrencilerin öğretim programlarının gerektirdiği Erdem-Değer-Eylem Çerçevesinde edinecekleri değerlerin ders süreçlerine yansıtılması değerlendirildi. Millî, manevi ve ahlaki değerlerin yalnızca bilgi düzeyinde değil, öğrencilerin davranış ve günlük yaşamlarına yansıyacak etkinliklerle desteklenmesi gerektiği belirtildi. Metin inceleme, konuşma, yazma, drama, örnek olay ve belirli gün ve haftalara yönelik çalışmaların bu kapsamda kullanılabileceği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 çalışmalarının Türkçe dersinin doğal akışı içinde anlamlı ve öğrenci düzeyine uygun biçimde yürütülmesi gerektiğini ifade etti.</w:t>
      </w:r>
    </w:p>
    <w:p/>
    <w:p>
      <w:pPr>
        <w:jc w:val="left"/>
        <w:spacing w:after="80"/>
      </w:pPr>
      <w:r>
        <w:rPr>
          <w:rFonts w:ascii="Times New Roman" w:hAnsi="Times New Roman" w:eastAsia="Times New Roman" w:cs="Times New Roman"/>
          <w:sz w:val="24"/>
          <w:szCs w:val="24"/>
          <w:b w:val="1"/>
          <w:bCs w:val="1"/>
        </w:rPr>
        <w:t xml:space="preserve">12) Öğretim Yöntem Ve Teknikleri İle Okul Temelli Planlama Kapsamında Yapılacak Çalışmaların Görüşülmesi</w:t>
      </w:r>
    </w:p>
    <w:p>
      <w:pPr>
        <w:jc w:val="both"/>
        <w:spacing w:after="120"/>
      </w:pPr>
      <w:r>
        <w:rPr>
          <w:rFonts w:ascii="Times New Roman" w:hAnsi="Times New Roman" w:eastAsia="Times New Roman" w:cs="Times New Roman"/>
          <w:sz w:val="24"/>
          <w:szCs w:val="24"/>
        </w:rPr>
        <w:t xml:space="preserve">Türkçe dersinde kullanılacak öğretim yöntem ve teknikleri ile okul temelli planlama kapsamında yapılabilecek çalışmalar değerlendirildi. Okuma, dinleme/izleme, konuşma ve yazma becerilerini geliştirecek etkinlik temelli, iş birlikli, araştırmaya ve problem çözmeye dayalı uygulamalara yer verilmesi gerektiği belirtildi. Okulun öğrenci profili, fiziki imkânları ve çevre özelliklerinin okul temelli planlama çalışmalarında dikkate alınması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yöntem ve teknik seçiminde öğrencinin aktif katılımını artıran ve farklı öğrenme ihtiyaçlarını gözeten uygulamalara öncelik verilmesi gerektiğini belirtti.</w:t>
      </w:r>
    </w:p>
    <w:p/>
    <w:p>
      <w:pPr>
        <w:jc w:val="left"/>
        <w:spacing w:after="80"/>
      </w:pPr>
      <w:r>
        <w:rPr>
          <w:rFonts w:ascii="Times New Roman" w:hAnsi="Times New Roman" w:eastAsia="Times New Roman" w:cs="Times New Roman"/>
          <w:sz w:val="24"/>
          <w:szCs w:val="24"/>
          <w:b w:val="1"/>
          <w:bCs w:val="1"/>
        </w:rPr>
        <w:t xml:space="preserve">13) Öğrenme Çıktıları, Etkinlikler, Öğrenme Kanıtları Ve Ölçme Değerlendirme Araçlarının Görüşülmesi</w:t>
      </w:r>
    </w:p>
    <w:p>
      <w:pPr>
        <w:jc w:val="both"/>
        <w:spacing w:after="120"/>
      </w:pPr>
      <w:r>
        <w:rPr>
          <w:rFonts w:ascii="Times New Roman" w:hAnsi="Times New Roman" w:eastAsia="Times New Roman" w:cs="Times New Roman"/>
          <w:sz w:val="24"/>
          <w:szCs w:val="24"/>
        </w:rPr>
        <w:t xml:space="preserve">Öğrenme çıktıları, ders etkinlikleri, öğrenme kanıtları ve kullanılacak ölçme değerlendirme araçları birlikte değerlendirildi. Türkçe dersinde öğrencilerin gelişimini izlemek amacıyla yazılı çalışmalar, konuşma ve dinleme uygulamaları, gözlem, kontrol listeleri, dereceli puanlama anahtarları, öğrenci ürünleri ve uygun diğer araçlardan yararlanılabileceği belirtildi. Ölçme değerlendirme sonuçlarının yalnızca puan vermek için değil, eksik öğrenmeleri belirlemek ve öğretim sürecini düzenlemek amacıyla da kullanılması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ölçme değerlendirme araçlarının öğrenme çıktılarıyla uyumlu, açık ve öğrenci gelişimini izlemeye elverişli olması gerektiğini ifade etti.</w:t>
      </w:r>
    </w:p>
    <w:p/>
    <w:p>
      <w:pPr>
        <w:jc w:val="left"/>
        <w:spacing w:after="80"/>
      </w:pPr>
      <w:r>
        <w:rPr>
          <w:rFonts w:ascii="Times New Roman" w:hAnsi="Times New Roman" w:eastAsia="Times New Roman" w:cs="Times New Roman"/>
          <w:sz w:val="24"/>
          <w:szCs w:val="24"/>
          <w:b w:val="1"/>
          <w:bCs w:val="1"/>
        </w:rPr>
        <w:t xml:space="preserve">14) Sınavların Şekli, Sayısı, Süresi Ve Değerlendirme Esaslarının Belirlenmesi</w:t>
      </w:r>
    </w:p>
    <w:p>
      <w:pPr>
        <w:jc w:val="both"/>
        <w:spacing w:after="120"/>
      </w:pPr>
      <w:r>
        <w:rPr>
          <w:rFonts w:ascii="Times New Roman" w:hAnsi="Times New Roman" w:eastAsia="Times New Roman" w:cs="Times New Roman"/>
          <w:sz w:val="24"/>
          <w:szCs w:val="24"/>
        </w:rPr>
        <w:t xml:space="preserve">Yazılı sınavların şekli, sayısı, süresi ve değerlendirme esasları ilgili mevzuat, sınıf düzeyi ve Türkçe dersi öğretim programı dikkate alınarak değerlendirildi. Sınavlarda öğrencilerin farklı düzeylerde düşünme, okuduğunu anlama, yorumlama ve dil becerilerini gösterebileceği soru yapılarına yer verilmesi gerektiği belirtildi. Sınav sürelerinin soru sayısı ve soru türleriyle dengeli olması, değerlendirme ölçütlerinin öğrencilere açık biçimde yansıtılması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sınav uygulamalarında kapsam geçerliği, ölçme amacı ve sınıf düzeyinin birlikte dikkate alınması gerektiğini ifade etti.</w:t>
      </w:r>
    </w:p>
    <w:p/>
    <w:p>
      <w:pPr>
        <w:jc w:val="left"/>
        <w:spacing w:after="80"/>
      </w:pPr>
      <w:r>
        <w:rPr>
          <w:rFonts w:ascii="Times New Roman" w:hAnsi="Times New Roman" w:eastAsia="Times New Roman" w:cs="Times New Roman"/>
          <w:sz w:val="24"/>
          <w:szCs w:val="24"/>
          <w:b w:val="1"/>
          <w:bCs w:val="1"/>
        </w:rPr>
        <w:t xml:space="preserve">15) Ülke, İl, İlçe Ve Okul Geneli Ortak Sınavlar, Mazeret Sınavları Ve Değerlendirme İşlemlerinin Görüşülmesi</w:t>
      </w:r>
    </w:p>
    <w:p>
      <w:pPr>
        <w:jc w:val="both"/>
        <w:spacing w:after="120"/>
      </w:pPr>
      <w:r>
        <w:rPr>
          <w:rFonts w:ascii="Times New Roman" w:hAnsi="Times New Roman" w:eastAsia="Times New Roman" w:cs="Times New Roman"/>
          <w:sz w:val="24"/>
          <w:szCs w:val="24"/>
        </w:rPr>
        <w:t xml:space="preserve">Ülke, il, ilçe ve okul geneli ortak sınavlar ile mazeret sınavlarının uygulanma süreçleri değerlendirildi. Sınav takvimi, konu soru dağılım tabloları, uygulama, puanlama, mazeret işlemleri ve sonuçların değerlendirilmesi aşamalarında ilgili mevzuat ve duyurulara uygun hareket edilmesi gerektiği belirtildi. Ortak sınav sonuçlarının zümre tarafından incelenerek öğrenci ve kazanım düzeyinde ihtiyaçların belirlenmesi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ortak ve mazeret sınavlarında uygulama birliği ile değerlendirme ölçütlerinin tutarlı biçimde kullanılmasının önemini ifade etti.</w:t>
      </w:r>
    </w:p>
    <w:p/>
    <w:p>
      <w:pPr>
        <w:jc w:val="left"/>
        <w:spacing w:after="80"/>
      </w:pPr>
      <w:r>
        <w:rPr>
          <w:rFonts w:ascii="Times New Roman" w:hAnsi="Times New Roman" w:eastAsia="Times New Roman" w:cs="Times New Roman"/>
          <w:sz w:val="24"/>
          <w:szCs w:val="24"/>
          <w:b w:val="1"/>
          <w:bCs w:val="1"/>
        </w:rPr>
        <w:t xml:space="preserve">16) Konu Soru Dağılım Tabloları, Sınav Analizleri Ve Kazanım Eksiklerinin Değerlendirilmesi</w:t>
      </w:r>
    </w:p>
    <w:p>
      <w:pPr>
        <w:jc w:val="both"/>
        <w:spacing w:after="120"/>
      </w:pPr>
      <w:r>
        <w:rPr>
          <w:rFonts w:ascii="Times New Roman" w:hAnsi="Times New Roman" w:eastAsia="Times New Roman" w:cs="Times New Roman"/>
          <w:sz w:val="24"/>
          <w:szCs w:val="24"/>
        </w:rPr>
        <w:t xml:space="preserve">Konu soru dağılım tabloları, sınav analizleri ve öğrencilerin kazanım eksikleri birlikte değerlendirildi. Sınav hazırlığında konu soru dağılım tablolarının esas alınması, sınav sonrasında sonuçların soru ve kazanım düzeyinde incelenmesi gerektiği belirtildi. Eksik veya yeterince gelişmemiş öğrenmeler için tekrar, ek etkinlik, bireysel destek ve izleme çalışmalarının planlanması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sınav analizlerinin yalnızca sonuç bildirmek için değil, öğretim sürecini iyileştirmek amacıyla kullanılması gerektiğini ifade etti.</w:t>
      </w:r>
    </w:p>
    <w:p/>
    <w:p>
      <w:pPr>
        <w:jc w:val="left"/>
        <w:spacing w:after="80"/>
      </w:pPr>
      <w:r>
        <w:rPr>
          <w:rFonts w:ascii="Times New Roman" w:hAnsi="Times New Roman" w:eastAsia="Times New Roman" w:cs="Times New Roman"/>
          <w:sz w:val="24"/>
          <w:szCs w:val="24"/>
          <w:b w:val="1"/>
          <w:bCs w:val="1"/>
        </w:rPr>
        <w:t xml:space="preserve">17) Soru Ve Cevap Anahtarları, Dereceli Puanlama Anahtarları, Kontrol Listeleri Ve Değerlendirme Ölçeklerinin Görüşülmesi</w:t>
      </w:r>
    </w:p>
    <w:p>
      <w:pPr>
        <w:jc w:val="both"/>
        <w:spacing w:after="120"/>
      </w:pPr>
      <w:r>
        <w:rPr>
          <w:rFonts w:ascii="Times New Roman" w:hAnsi="Times New Roman" w:eastAsia="Times New Roman" w:cs="Times New Roman"/>
          <w:sz w:val="24"/>
          <w:szCs w:val="24"/>
        </w:rPr>
        <w:t xml:space="preserve">Soru ve cevap anahtarları ile dereceli puanlama anahtarları, kontrol listeleri ve diğer değerlendirme ölçeklerinin hazırlanma esasları görüşüldü. Araçların açık, ölçülebilir, öğrenme çıktılarıyla uyumlu ve öğretmenler arasında ortak değerlendirme ölçütü sağlayacak nitelikte olması gerektiği belirtildi. Özellikle açık uçlu, sözlü ve ürün temelli çalışmalarda kullanılacak ölçütlerin öğrenciye önceden açıklanmasının yararlı olacağı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değerlendirme araçlarında nesnelliği ve uygulama birliğini güçlendirecek ortak ölçütlerin kullanılmasını önerdi.</w:t>
      </w:r>
    </w:p>
    <w:p/>
    <w:p>
      <w:pPr>
        <w:jc w:val="left"/>
        <w:spacing w:after="80"/>
      </w:pPr>
      <w:r>
        <w:rPr>
          <w:rFonts w:ascii="Times New Roman" w:hAnsi="Times New Roman" w:eastAsia="Times New Roman" w:cs="Times New Roman"/>
          <w:sz w:val="24"/>
          <w:szCs w:val="24"/>
          <w:b w:val="1"/>
          <w:bCs w:val="1"/>
        </w:rPr>
        <w:t xml:space="preserve">18) Sözlü Anlatım, Uygulamalı Etkinlik Ve Ürün Değerlendirme Süreçlerinin Planlanması</w:t>
      </w:r>
    </w:p>
    <w:p>
      <w:pPr>
        <w:jc w:val="both"/>
        <w:spacing w:after="120"/>
      </w:pPr>
      <w:r>
        <w:rPr>
          <w:rFonts w:ascii="Times New Roman" w:hAnsi="Times New Roman" w:eastAsia="Times New Roman" w:cs="Times New Roman"/>
          <w:sz w:val="24"/>
          <w:szCs w:val="24"/>
        </w:rPr>
        <w:t xml:space="preserve">Türkçe dersinde sözlü anlatım, uygulamalı etkinlik ve ürün değerlendirme süreçleri öğrenci becerilerini görünür kılacak biçimde ele alındı. Konuşma becerisi, hazırlıklı/hazırlıksız anlatım, sunum, etkinlik katılımı ve öğrenci ürünlerinin yalnızca sonuç üzerinden değil süreçte gösterilen gelişimle birlikte değerlendirilmesi gerektiği belirtildi. Dereceli puanlama anahtarı, kontrol listesi ve gözlem formlarından uygun olanların kullanılması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değerlendirme ölçütlerinin önceden belirlenmesi ve öğrencilerle paylaşılmasının daha şeffaf bir süreç sağlayacağını ifade etti.</w:t>
      </w:r>
    </w:p>
    <w:p/>
    <w:p>
      <w:pPr>
        <w:jc w:val="left"/>
        <w:spacing w:after="80"/>
      </w:pPr>
      <w:r>
        <w:rPr>
          <w:rFonts w:ascii="Times New Roman" w:hAnsi="Times New Roman" w:eastAsia="Times New Roman" w:cs="Times New Roman"/>
          <w:sz w:val="24"/>
          <w:szCs w:val="24"/>
          <w:b w:val="1"/>
          <w:bCs w:val="1"/>
        </w:rPr>
        <w:t xml:space="preserve">19) Ulusal Ve Uluslararası Sınav, Yarışma Ve Etkinlik Sonuçlarına Yönelik Değerlendirmelerin Görüşülmesi</w:t>
      </w:r>
    </w:p>
    <w:p>
      <w:pPr>
        <w:jc w:val="both"/>
        <w:spacing w:after="120"/>
      </w:pPr>
      <w:r>
        <w:rPr>
          <w:rFonts w:ascii="Times New Roman" w:hAnsi="Times New Roman" w:eastAsia="Times New Roman" w:cs="Times New Roman"/>
          <w:sz w:val="24"/>
          <w:szCs w:val="24"/>
        </w:rPr>
        <w:t xml:space="preserve">Ulusal ve uluslararası sınav, yarışma ve etkinliklerden elde edilen sonuçların Türkçe dersi açısından nasıl değerlendirileceği görüşüldü. Sonuçların öğrencilerin okuma, anlama, yorumlama, yazma ve diğer dil becerilerindeki güçlü ve geliştirilmesi gereken yönleri belirlemek için veri olarak kullanılabileceği ifade edildi. Uygun sonuçların zümre içinde paylaşılması ve gerekli görülen alanlarda destekleyici çalışmalar planlanması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bu sonuçların tek başına başarı ölçütü olarak değil, öğretim sürecini geliştiren tamamlayıcı veriler olarak değerlendirilmesi gerektiğini belirtti.</w:t>
      </w:r>
    </w:p>
    <w:p/>
    <w:p>
      <w:pPr>
        <w:jc w:val="left"/>
        <w:spacing w:after="80"/>
      </w:pPr>
      <w:r>
        <w:rPr>
          <w:rFonts w:ascii="Times New Roman" w:hAnsi="Times New Roman" w:eastAsia="Times New Roman" w:cs="Times New Roman"/>
          <w:sz w:val="24"/>
          <w:szCs w:val="24"/>
          <w:b w:val="1"/>
          <w:bCs w:val="1"/>
        </w:rPr>
        <w:t xml:space="preserve">20) Lgs Kapsamındaki Sınava Hazırlık, İzleme Ve Destekleme Çalışmalarının Planlanması</w:t>
      </w:r>
    </w:p>
    <w:p>
      <w:pPr>
        <w:jc w:val="both"/>
        <w:spacing w:after="120"/>
      </w:pPr>
      <w:r>
        <w:rPr>
          <w:rFonts w:ascii="Times New Roman" w:hAnsi="Times New Roman" w:eastAsia="Times New Roman" w:cs="Times New Roman"/>
          <w:sz w:val="24"/>
          <w:szCs w:val="24"/>
        </w:rPr>
        <w:t xml:space="preserve">LGS kapsamındaki sınıf ve konularda sınava hazırlık çalışmalarının düzenli izleme, tekrar ve destek uygulamalarıyla yürütülmesi gerektiği belirtildi. LGS kapsamındaki konularda öğrencilerin düzenli izleme, tekrar ve soru çözüm çalışmalarıyla desteklenmesi gerektiği belirtildi. Sınava hazırlık sürecinde kazanım eksiklerinin erken belirlenmesi ve destekleyici çalışmaların planlı yürütülmesi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ölçme araçlarının kazanımları kapsaması ve öğrenci gelişimini izlemeye katkı sağlaması gerektiğini ifade etti.</w:t>
      </w:r>
    </w:p>
    <w:p/>
    <w:p>
      <w:pPr>
        <w:jc w:val="left"/>
        <w:spacing w:after="80"/>
      </w:pPr>
      <w:r>
        <w:rPr>
          <w:rFonts w:ascii="Times New Roman" w:hAnsi="Times New Roman" w:eastAsia="Times New Roman" w:cs="Times New Roman"/>
          <w:sz w:val="24"/>
          <w:szCs w:val="24"/>
          <w:b w:val="1"/>
          <w:bCs w:val="1"/>
        </w:rPr>
        <w:t xml:space="preserve">21) Öğrenci Başarı Durumu, Dönem Sonu Değerlendirmeleri, Kazanım Eksikleri, İzleme Ve Destekleyici Eylem Planlarının Görüşülmesi</w:t>
      </w:r>
    </w:p>
    <w:p>
      <w:pPr>
        <w:jc w:val="both"/>
        <w:spacing w:after="120"/>
      </w:pPr>
      <w:r>
        <w:rPr>
          <w:rFonts w:ascii="Times New Roman" w:hAnsi="Times New Roman" w:eastAsia="Times New Roman" w:cs="Times New Roman"/>
          <w:sz w:val="24"/>
          <w:szCs w:val="24"/>
        </w:rPr>
        <w:t xml:space="preserve">Öğrencilerin başarı durumları, dönem sonu değerlendirmeleri, kazanım ve öğrenme çıktılarındaki eksikleri ile izleme sonuçları birlikte ele alındı. Başarının yalnızca sınav puanlarıyla değil; ders içi katılım, okuma-anlama, yazılı ve sözlü anlatım, görev sorumluluğu ve süreç içindeki gelişimle birlikte değerlendirilmesi gerektiği belirtildi. Destek ihtiyacı belirlenen öğrenciler için uygulanabilir eylem planları hazırlanması, sonuçların dönem içinde izlenmesi ve gerektiğinde aileyle iş birliği yapılması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 gelişiminin düzenli veriler üzerinden takip edilmesi ve destekleyici çalışmaların sonuçlarının yeniden değerlendirilmesi gerektiğini ifade etti.</w:t>
      </w:r>
    </w:p>
    <w:p/>
    <w:p>
      <w:pPr>
        <w:jc w:val="left"/>
        <w:spacing w:after="80"/>
      </w:pPr>
      <w:r>
        <w:rPr>
          <w:rFonts w:ascii="Times New Roman" w:hAnsi="Times New Roman" w:eastAsia="Times New Roman" w:cs="Times New Roman"/>
          <w:sz w:val="24"/>
          <w:szCs w:val="24"/>
          <w:b w:val="1"/>
          <w:bCs w:val="1"/>
        </w:rPr>
        <w:t xml:space="preserve">22) Performans Görevi, Proje Ve Ürün Değerlendirme Çalışmalarının Görüşülmesi</w:t>
      </w:r>
    </w:p>
    <w:p>
      <w:pPr>
        <w:jc w:val="both"/>
        <w:spacing w:after="120"/>
      </w:pPr>
      <w:r>
        <w:rPr>
          <w:rFonts w:ascii="Times New Roman" w:hAnsi="Times New Roman" w:eastAsia="Times New Roman" w:cs="Times New Roman"/>
          <w:sz w:val="24"/>
          <w:szCs w:val="24"/>
        </w:rPr>
        <w:t xml:space="preserve">Performans görevi, proje ve öğrenci ürünlerinin değerlendirilmesinde kullanılacak ölçütler görüşüldü. Çalışmalarda öğrencilerin araştırma, bilgiye ulaşma, üretme, yazılı ve sözlü ifade, sunma, sorumluluk alma ve zamanı kullanma becerilerinin süreç boyunca izlenmesi gerektiği belirtildi. Ürün kadar çalışma sürecinin de değerlendirilmesi, gerekli durumlarda dereceli puanlama anahtarı ve kontrol listelerinden yararlanılması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değerlendirme ölçütlerinin çalışmanın niteliğine uygun ve öğrenci tarafından anlaşılabilir olması gerektiğini ifade etti.</w:t>
      </w:r>
    </w:p>
    <w:p/>
    <w:p>
      <w:pPr>
        <w:jc w:val="left"/>
        <w:spacing w:after="80"/>
      </w:pPr>
      <w:r>
        <w:rPr>
          <w:rFonts w:ascii="Times New Roman" w:hAnsi="Times New Roman" w:eastAsia="Times New Roman" w:cs="Times New Roman"/>
          <w:sz w:val="24"/>
          <w:szCs w:val="24"/>
          <w:b w:val="1"/>
          <w:bCs w:val="1"/>
        </w:rPr>
        <w:t xml:space="preserve">23) Öğretim Programı, Okul Ve Çevre Şartlarına Göre Proje, Performans Ve Etkinlik Çalışmalarının Planlanması</w:t>
      </w:r>
    </w:p>
    <w:p>
      <w:pPr>
        <w:jc w:val="both"/>
        <w:spacing w:after="120"/>
      </w:pPr>
      <w:r>
        <w:rPr>
          <w:rFonts w:ascii="Times New Roman" w:hAnsi="Times New Roman" w:eastAsia="Times New Roman" w:cs="Times New Roman"/>
          <w:sz w:val="24"/>
          <w:szCs w:val="24"/>
        </w:rPr>
        <w:t xml:space="preserve">Türkçe öğretim programı ile okulun ve çevrenin şartları dikkate alınarak proje, performans ve etkinlik çalışmalarının nasıl planlanacağı görüşüldü. Çalışmaların öğrencilerin yaş düzeyine, öğrenme çıktısına, ilgi ve ihtiyaçlarına uygun; uygulanabilir ve günlük yaşamla ilişkilendirilebilir nitelikte olması gerektiği belirtildi. Okul ve çevre imkânlarından yararlanılması, ihtiyaç duyulması hâlinde farklı kurum ve kişilerle iş birliği yapılması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proje ve etkinliklerin öğretim programıyla doğrudan bağlantılı ve öğrencinin aktif üretimini destekleyen nitelikte seçilmesi gerektiğini ifade etti.</w:t>
      </w:r>
    </w:p>
    <w:p/>
    <w:p>
      <w:pPr>
        <w:jc w:val="left"/>
        <w:spacing w:after="80"/>
      </w:pPr>
      <w:r>
        <w:rPr>
          <w:rFonts w:ascii="Times New Roman" w:hAnsi="Times New Roman" w:eastAsia="Times New Roman" w:cs="Times New Roman"/>
          <w:sz w:val="24"/>
          <w:szCs w:val="24"/>
          <w:b w:val="1"/>
          <w:bCs w:val="1"/>
        </w:rPr>
        <w:t xml:space="preserve">24) Ders Kitapları, Ders Araç Gereçleri, Öğretim Materyalleri, Kaynaklar Ve Bilişim Araçlarının Kullanımının Değerlendirilmesi</w:t>
      </w:r>
    </w:p>
    <w:p>
      <w:pPr>
        <w:jc w:val="both"/>
        <w:spacing w:after="120"/>
      </w:pPr>
      <w:r>
        <w:rPr>
          <w:rFonts w:ascii="Times New Roman" w:hAnsi="Times New Roman" w:eastAsia="Times New Roman" w:cs="Times New Roman"/>
          <w:sz w:val="24"/>
          <w:szCs w:val="24"/>
        </w:rPr>
        <w:t xml:space="preserve">Türkçe dersinde kullanılacak ders kitapları, ders araç gereçleri, öğretim materyalleri, kaynaklar ve bilişim araçları değerlendirildi. Kullanılacak kaynak ve materyallerin öğretim programına, öğrenme çıktısına, öğrenci düzeyine ve güvenli kullanım ilkelerine uygun olması gerektiği belirtildi. Basılı ve dijital materyallerin dersi destekleyici, erişilebilir ve amacına uygun biçimde kullanılması; ihtiyaçların dönem içinde belirlenmesi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materyal seçiminde içerik uygunluğu, erişilebilirlik ve öğrencinin öğrenmeye etkin katılımını destekleme ölçütlerinin dikkate alınması gerektiğini ifade etti.</w:t>
      </w:r>
    </w:p>
    <w:p/>
    <w:p>
      <w:pPr>
        <w:jc w:val="left"/>
        <w:spacing w:after="80"/>
      </w:pPr>
      <w:r>
        <w:rPr>
          <w:rFonts w:ascii="Times New Roman" w:hAnsi="Times New Roman" w:eastAsia="Times New Roman" w:cs="Times New Roman"/>
          <w:sz w:val="24"/>
          <w:szCs w:val="24"/>
          <w:b w:val="1"/>
          <w:bCs w:val="1"/>
        </w:rPr>
        <w:t xml:space="preserve">25) Okulun Fiziki Mekânları; Laboratuvar, Kütüphane, Spor Salonu, Atölye Ve Benzeri Eğitim Ortamlarının Kullanımının Planlanması</w:t>
      </w:r>
    </w:p>
    <w:p>
      <w:pPr>
        <w:jc w:val="both"/>
        <w:spacing w:after="120"/>
      </w:pPr>
      <w:r>
        <w:rPr>
          <w:rFonts w:ascii="Times New Roman" w:hAnsi="Times New Roman" w:eastAsia="Times New Roman" w:cs="Times New Roman"/>
          <w:sz w:val="24"/>
          <w:szCs w:val="24"/>
        </w:rPr>
        <w:t xml:space="preserve">Okulun fiziki mekânları ile laboratuvar, kütüphane, spor salonu, atölye ve benzeri eğitim ortamlarının Türkçe dersi ve ortak çalışmalar açısından kullanımı değerlendirildi. Eğitim ortamlarının yapılacak etkinliğin amacına, öğrenci güvenliğine ve erişilebilirlik koşullarına uygun biçimde planlanması gerektiği belirtildi. Kütüphane başta olmak üzere uygun alanlardan okuma, araştırma, sunum ve disiplinler arası çalışmalarda daha etkili yararlanılması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okulun fiziki imkânlarının planlı, güvenli ve öğrenmeyi destekleyici biçimde kullanılmasının önemini ifade etti.</w:t>
      </w:r>
    </w:p>
    <w:p/>
    <w:p>
      <w:pPr>
        <w:jc w:val="left"/>
        <w:spacing w:after="80"/>
      </w:pPr>
      <w:r>
        <w:rPr>
          <w:rFonts w:ascii="Times New Roman" w:hAnsi="Times New Roman" w:eastAsia="Times New Roman" w:cs="Times New Roman"/>
          <w:sz w:val="24"/>
          <w:szCs w:val="24"/>
          <w:b w:val="1"/>
          <w:bCs w:val="1"/>
        </w:rPr>
        <w:t xml:space="preserve">26) Okulun Çevre İmkânlarının Analiz Edilmesi Ve Bu İmkânlara Dayalı Gezi, Gözlem, Deney, Araştırma, Anket, Proje Ve Okul Dışı Öğrenme Çalışmalarının Planlanması</w:t>
      </w:r>
    </w:p>
    <w:p>
      <w:pPr>
        <w:jc w:val="both"/>
        <w:spacing w:after="120"/>
      </w:pPr>
      <w:r>
        <w:rPr>
          <w:rFonts w:ascii="Times New Roman" w:hAnsi="Times New Roman" w:eastAsia="Times New Roman" w:cs="Times New Roman"/>
          <w:sz w:val="24"/>
          <w:szCs w:val="24"/>
        </w:rPr>
        <w:t xml:space="preserve">Okulun bulunduğu çevrenin sosyal, kültürel, doğal ve fiziki imkânları Türkçe dersi açısından analiz edildi. Kütüphane, müze, kültür merkezi, yerel kurumlar ve benzeri çevre imkânlarından gezi, gözlem, araştırma, anket, proje ve okul dışı öğrenme çalışmalarında yararlanılabileceği değerlendirildi. Çalışmaların öğrenme çıktılarıyla ilişkilendirilmesi; izin, güvenlik, ulaşım, erişilebilirlik ve gerekli iş birliği süreçlerinin önceden planlanması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çevre imkânlarının öğrencilerin dili gerçek yaşam bağlamlarında kullanmalarına katkı sağlayacak biçimde değerlendirilmesi gerektiğini belirtti.</w:t>
      </w:r>
    </w:p>
    <w:p/>
    <w:p>
      <w:pPr>
        <w:jc w:val="left"/>
        <w:spacing w:after="80"/>
      </w:pPr>
      <w:r>
        <w:rPr>
          <w:rFonts w:ascii="Times New Roman" w:hAnsi="Times New Roman" w:eastAsia="Times New Roman" w:cs="Times New Roman"/>
          <w:sz w:val="24"/>
          <w:szCs w:val="24"/>
          <w:b w:val="1"/>
          <w:bCs w:val="1"/>
        </w:rPr>
        <w:t xml:space="preserve">27) Bep, Ders Planları, Özel Eğitim, Farklılaştırılmış Öğretim, Zenginleştirme Ve Destekleme Çalışmalarının Görüşülmesi</w:t>
      </w:r>
    </w:p>
    <w:p>
      <w:pPr>
        <w:jc w:val="both"/>
        <w:spacing w:after="120"/>
      </w:pPr>
      <w:r>
        <w:rPr>
          <w:rFonts w:ascii="Times New Roman" w:hAnsi="Times New Roman" w:eastAsia="Times New Roman" w:cs="Times New Roman"/>
          <w:sz w:val="24"/>
          <w:szCs w:val="24"/>
        </w:rPr>
        <w:t xml:space="preserve">BEP, özel eğitim, farklılaştırılmış öğretim, zenginleştirme ve destekleme çalışmaları öğrencilerin bireysel ihtiyaçları doğrultusunda ele alındı. Öğrencilerin hazırbulunuşluk, ilgi, ihtiyaç ve öğrenme özelliklerine göre içerik, süreç, ürün, materyal, görev ve değerlendirme araçlarında gerekli uyarlamaların yapılabileceği belirtildi. Bu düzenlemelerin ders planlarına yansıtılması, özel eğitim ve rehberlik birimleriyle gerektiğinde iş birliği yapılması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bireysel farklılıkların ders planlarına ve ölçme değerlendirme süreçlerine sistemli biçimde yansıtılmasının öğrenci gelişimini destekleyeceğini ifade etti.</w:t>
      </w:r>
    </w:p>
    <w:p/>
    <w:p>
      <w:pPr>
        <w:jc w:val="left"/>
        <w:spacing w:after="80"/>
      </w:pPr>
      <w:r>
        <w:rPr>
          <w:rFonts w:ascii="Times New Roman" w:hAnsi="Times New Roman" w:eastAsia="Times New Roman" w:cs="Times New Roman"/>
          <w:sz w:val="24"/>
          <w:szCs w:val="24"/>
          <w:b w:val="1"/>
          <w:bCs w:val="1"/>
        </w:rPr>
        <w:t xml:space="preserve">28) En Az Bir Ders Ziyareti, Geri Dönüt, Mesleki Paylaşım Ve Zümreler Arası İş Birliği Çalışmalarının Planlanması</w:t>
      </w:r>
    </w:p>
    <w:p>
      <w:pPr>
        <w:jc w:val="both"/>
        <w:spacing w:after="120"/>
      </w:pPr>
      <w:r>
        <w:rPr>
          <w:rFonts w:ascii="Times New Roman" w:hAnsi="Times New Roman" w:eastAsia="Times New Roman" w:cs="Times New Roman"/>
          <w:sz w:val="24"/>
          <w:szCs w:val="24"/>
        </w:rPr>
        <w:t xml:space="preserve">Ders ziyareti, geri dönüt ve mesleki paylaşım süreçlerinin öğretmenler arası deneyim aktarımını güçlendirecek şekilde yürütülmesi planlandı. Ders ziyareti ve geri dönüt süreçlerinin öğretmenler arası mesleki paylaşımı güçlendirecek biçimde yürütülmesi gerektiği belirtildi. Diğer zümrelerle yapılacak ortak çalışmaların takvimlendirilmesi ve sonuçlarının paylaşılması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mesleki paylaşımın öğretmenler arasında ortak uygulama kültürünü güçlendireceğini ifade etti.</w:t>
      </w:r>
    </w:p>
    <w:p/>
    <w:p>
      <w:pPr>
        <w:jc w:val="left"/>
        <w:spacing w:after="80"/>
      </w:pPr>
      <w:r>
        <w:rPr>
          <w:rFonts w:ascii="Times New Roman" w:hAnsi="Times New Roman" w:eastAsia="Times New Roman" w:cs="Times New Roman"/>
          <w:sz w:val="24"/>
          <w:szCs w:val="24"/>
          <w:b w:val="1"/>
          <w:bCs w:val="1"/>
        </w:rPr>
        <w:t xml:space="preserve">29) Akademik, Bilimsel Ve Teknolojik Gelişmelerin Derslere Yansıtılmasının Görüşülmesi</w:t>
      </w:r>
    </w:p>
    <w:p>
      <w:pPr>
        <w:jc w:val="both"/>
        <w:spacing w:after="120"/>
      </w:pPr>
      <w:r>
        <w:rPr>
          <w:rFonts w:ascii="Times New Roman" w:hAnsi="Times New Roman" w:eastAsia="Times New Roman" w:cs="Times New Roman"/>
          <w:sz w:val="24"/>
          <w:szCs w:val="24"/>
        </w:rPr>
        <w:t xml:space="preserve">Türkçe alanındaki akademik, bilimsel ve teknolojik gelişmelerin ders uygulamalarına yansıtılması için izlenecek kaynaklar ve paylaşım yolları belirlendi. Alanla ilgili akademik, bilimsel ve teknolojik gelişmelerin ders içeriklerine uygun örneklerle yansıtılması gerektiği ifade edildi. Öğretmenlerin yararlı kaynak ve uygulamaları zümre içinde paylaşması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alanla ilgili güncel gelişmelerin ders örneklerine dönüştürülmesinin öğrenci ilgisini artıracağını belirtti.</w:t>
      </w:r>
    </w:p>
    <w:p/>
    <w:p>
      <w:pPr>
        <w:jc w:val="left"/>
        <w:spacing w:after="80"/>
      </w:pPr>
      <w:r>
        <w:rPr>
          <w:rFonts w:ascii="Times New Roman" w:hAnsi="Times New Roman" w:eastAsia="Times New Roman" w:cs="Times New Roman"/>
          <w:sz w:val="24"/>
          <w:szCs w:val="24"/>
          <w:b w:val="1"/>
          <w:bCs w:val="1"/>
        </w:rPr>
        <w:t xml:space="preserve">30) Girişimcilik, Araştırma Geliştirme Ve Tasarım Becerilerine Yönelik Çalışmaların Planlanması</w:t>
      </w:r>
    </w:p>
    <w:p>
      <w:pPr>
        <w:jc w:val="both"/>
        <w:spacing w:after="120"/>
      </w:pPr>
      <w:r>
        <w:rPr>
          <w:rFonts w:ascii="Times New Roman" w:hAnsi="Times New Roman" w:eastAsia="Times New Roman" w:cs="Times New Roman"/>
          <w:sz w:val="24"/>
          <w:szCs w:val="24"/>
        </w:rPr>
        <w:t xml:space="preserve">Öğrencilerin girişimcilik, araştırma, geliştirme ve tasarım becerilerini destekleyecek ders içi ve ders dışı çalışmalar planlandı. Öğrencilerin araştırma, geliştirme, tasarım ve girişimcilik becerilerini kullanabileceği ders içi çalışmalar planlandı. Bu becerilerin proje, problem çözme ve ürün oluşturma etkinlikleriyle desteklenmesi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araştırma ve üretim becerilerini geliştiren etkinliklere yer verilmesi gerektiğini ifade etti.</w:t>
      </w:r>
    </w:p>
    <w:p/>
    <w:p>
      <w:pPr>
        <w:jc w:val="left"/>
        <w:spacing w:after="80"/>
      </w:pPr>
      <w:r>
        <w:rPr>
          <w:rFonts w:ascii="Times New Roman" w:hAnsi="Times New Roman" w:eastAsia="Times New Roman" w:cs="Times New Roman"/>
          <w:sz w:val="24"/>
          <w:szCs w:val="24"/>
          <w:b w:val="1"/>
          <w:bCs w:val="1"/>
        </w:rPr>
        <w:t xml:space="preserve">31) Disiplinler Arası Çalışmaların Planlanması</w:t>
      </w:r>
    </w:p>
    <w:p>
      <w:pPr>
        <w:jc w:val="both"/>
        <w:spacing w:after="120"/>
      </w:pPr>
      <w:r>
        <w:rPr>
          <w:rFonts w:ascii="Times New Roman" w:hAnsi="Times New Roman" w:eastAsia="Times New Roman" w:cs="Times New Roman"/>
          <w:sz w:val="24"/>
          <w:szCs w:val="24"/>
        </w:rPr>
        <w:t xml:space="preserve">Türkçe dersinin diğer derslerle ilişkilendirilebileceği kazanım ve etkinlik alanları belirlenerek ortak çalışma imkânları üzerinde duruldu. Türkçe dersinin diğer derslerle ilişkilendirilebileceği konu ve kazanımlar belirlendi. Ortak etkinliklerin öğrencilerin bilgiyi farklı alanlarda kullanma becerisini geliştirmesi hedeflendi.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farklı derslerle kurulacak bağlantıların öğrenmenin kalıcılığını artıracağını belirtti.</w:t>
      </w:r>
    </w:p>
    <w:p/>
    <w:p>
      <w:pPr>
        <w:jc w:val="left"/>
        <w:spacing w:after="80"/>
      </w:pPr>
      <w:r>
        <w:rPr>
          <w:rFonts w:ascii="Times New Roman" w:hAnsi="Times New Roman" w:eastAsia="Times New Roman" w:cs="Times New Roman"/>
          <w:sz w:val="24"/>
          <w:szCs w:val="24"/>
          <w:b w:val="1"/>
          <w:bCs w:val="1"/>
        </w:rPr>
        <w:t xml:space="preserve">32) Okuryazarlık Becerileri, Üst Düzey Düşünme Ve Sosyal-Duygusal Öğrenme Becerilerine Yönelik Çalışmaların Planlanması</w:t>
      </w:r>
    </w:p>
    <w:p>
      <w:pPr>
        <w:jc w:val="both"/>
        <w:spacing w:after="120"/>
      </w:pPr>
      <w:r>
        <w:rPr>
          <w:rFonts w:ascii="Times New Roman" w:hAnsi="Times New Roman" w:eastAsia="Times New Roman" w:cs="Times New Roman"/>
          <w:sz w:val="24"/>
          <w:szCs w:val="24"/>
        </w:rPr>
        <w:t xml:space="preserve">Öğretim programının gerektirdiği okuryazarlık becerileri, üst düzey düşünme ve sosyal-duygusal öğrenme becerilerinin Türkçe dersiyle nasıl destekleneceği değerlendirildi. Öğrencilerin bilgiye ulaşma, anlama, sorgulama, yorumlama, çıkarım yapma, eleştirel düşünme ve problem çözme becerilerinin okuma, dinleme/izleme, konuşma ve yazma etkinlikleriyle geliştirilebileceği belirtildi. Öz farkındalık, iletişim, iş birliği, sorumluluk alma ve duygu düzenleme gibi sosyal-duygusal öğrenme becerilerinin de sınıf içi etkileşimlerle desteklenmesi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bu becerilerin dersin doğal akışına düzenli ve ölçülebilir biçimde yerleştirilmesi gerektiğini ifade etti.</w:t>
      </w:r>
    </w:p>
    <w:p/>
    <w:p>
      <w:pPr>
        <w:jc w:val="left"/>
        <w:spacing w:after="80"/>
      </w:pPr>
      <w:r>
        <w:rPr>
          <w:rFonts w:ascii="Times New Roman" w:hAnsi="Times New Roman" w:eastAsia="Times New Roman" w:cs="Times New Roman"/>
          <w:sz w:val="24"/>
          <w:szCs w:val="24"/>
          <w:b w:val="1"/>
          <w:bCs w:val="1"/>
        </w:rPr>
        <w:t xml:space="preserve">33) Öğrencilerin Bedensel, Zihinsel, Duygusal, Sosyal Ve Ahlaki Gelişimine Yönelik Çalışmaların Görüşülmesi</w:t>
      </w:r>
    </w:p>
    <w:p>
      <w:pPr>
        <w:jc w:val="both"/>
        <w:spacing w:after="120"/>
      </w:pPr>
      <w:r>
        <w:rPr>
          <w:rFonts w:ascii="Times New Roman" w:hAnsi="Times New Roman" w:eastAsia="Times New Roman" w:cs="Times New Roman"/>
          <w:sz w:val="24"/>
          <w:szCs w:val="24"/>
        </w:rPr>
        <w:t xml:space="preserve">Öğrencilerin bedensel, zihinsel, duygusal, sosyal ve ahlaki gelişimlerinin bir bütün olarak desteklenmesine yönelik çalışmalar değerlendirildi. Türkçe dersindeki metinler, iletişim etkinlikleri, grup çalışmaları, okuma kültürü ve sözlü-yazılı ifade süreçlerinin öğrencilerin düşünme, kendini ifade etme, empati, sorumluluk ve sosyal etkileşim becerilerine katkı sağlayabileceği belirtildi. Öğrencilerin gelişim özelliklerinin ders planlama ve sınıf içi uygulamalarda dikkate alınması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bütüncül gelişimi destekleyen çalışmaların okul, aile ve gerektiğinde rehberlik birimleriyle iş birliği içinde sürdürülmesinin yararlı olacağını ifade etti.</w:t>
      </w:r>
    </w:p>
    <w:p/>
    <w:p>
      <w:pPr>
        <w:jc w:val="left"/>
        <w:spacing w:after="80"/>
      </w:pPr>
      <w:r>
        <w:rPr>
          <w:rFonts w:ascii="Times New Roman" w:hAnsi="Times New Roman" w:eastAsia="Times New Roman" w:cs="Times New Roman"/>
          <w:sz w:val="24"/>
          <w:szCs w:val="24"/>
          <w:b w:val="1"/>
          <w:bCs w:val="1"/>
        </w:rPr>
        <w:t xml:space="preserve">34) Program Dışı Etkinlikler Kapsamında Sosyal Sorumluluk, Sosyal-Kültürel, Sanatsal Ve Sportif Etkinliklerin Planlanması</w:t>
      </w:r>
    </w:p>
    <w:p>
      <w:pPr>
        <w:jc w:val="both"/>
        <w:spacing w:after="120"/>
      </w:pPr>
      <w:r>
        <w:rPr>
          <w:rFonts w:ascii="Times New Roman" w:hAnsi="Times New Roman" w:eastAsia="Times New Roman" w:cs="Times New Roman"/>
          <w:sz w:val="24"/>
          <w:szCs w:val="24"/>
        </w:rPr>
        <w:t xml:space="preserve">Program dışı etkinlikler kapsamında gerçekleştirilebilecek sosyal sorumluluk, sosyal-kültürel, sanatsal ve sportif çalışmalar öğrencilerin bütüncül gelişimi açısından değerlendirildi. Türkçe dersiyle ilişkilendirilebilecek okuma etkinlikleri, söyleşi, tiyatro, şiir, dergi-gazete, sosyal sorumluluk projeleri ve benzeri çalışmaların öğrencilerin iletişim, üretim ve iş birliği becerilerini destekleyebileceği belirtildi. Etkinliklerin öğrenci düzeyi, gönüllülük, okul imkânları ve güvenlik koşulları dikkate alınarak planlanması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program dışı etkinliklerin öğrencilerin ilgi, yetenek ve sorumluluk bilincini geliştirecek biçimde seçilmesi gerektiğini ifade etti.</w:t>
      </w:r>
    </w:p>
    <w:p/>
    <w:p>
      <w:pPr>
        <w:jc w:val="left"/>
        <w:spacing w:after="80"/>
      </w:pPr>
      <w:r>
        <w:rPr>
          <w:rFonts w:ascii="Times New Roman" w:hAnsi="Times New Roman" w:eastAsia="Times New Roman" w:cs="Times New Roman"/>
          <w:sz w:val="24"/>
          <w:szCs w:val="24"/>
          <w:b w:val="1"/>
          <w:bCs w:val="1"/>
        </w:rPr>
        <w:t xml:space="preserve">35) Yarışma, Proje Ve Etkinliklere Katılım Çalışmalarının Görüşülmesi</w:t>
      </w:r>
    </w:p>
    <w:p>
      <w:pPr>
        <w:jc w:val="both"/>
        <w:spacing w:after="120"/>
      </w:pPr>
      <w:r>
        <w:rPr>
          <w:rFonts w:ascii="Times New Roman" w:hAnsi="Times New Roman" w:eastAsia="Times New Roman" w:cs="Times New Roman"/>
          <w:sz w:val="24"/>
          <w:szCs w:val="24"/>
        </w:rPr>
        <w:t xml:space="preserve">Öğrencilerin Türkçe alanıyla ilişkilendirilebilecek yarışma, proje ve etkinliklere katılım imkânları değerlendirildi. Katılım sağlanacak çalışmaların öğrencilerin okuma, yazma, konuşma, araştırma, üretme ve kendini ifade etme becerilerini desteklemesi gerektiği belirtildi. Öğrencilerin ilgi, yetenek, yaş düzeyi ve gönüllülüğünün dikkate alınması; uygun çalışmaların okul yönetimi ve ailelerle iş birliği içinde yürütülmesi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yarışma ve proje çalışmalarında yalnızca sonuç değil, öğrencinin gelişimi ve katılım sürecinin de önemsenmesi gerektiğini ifade etti.</w:t>
      </w:r>
    </w:p>
    <w:p/>
    <w:p>
      <w:pPr>
        <w:jc w:val="left"/>
        <w:spacing w:after="80"/>
      </w:pPr>
      <w:r>
        <w:rPr>
          <w:rFonts w:ascii="Times New Roman" w:hAnsi="Times New Roman" w:eastAsia="Times New Roman" w:cs="Times New Roman"/>
          <w:sz w:val="24"/>
          <w:szCs w:val="24"/>
          <w:b w:val="1"/>
          <w:bCs w:val="1"/>
        </w:rPr>
        <w:t xml:space="preserve">36) Okul Aile İş Birliği Ve Veli Toplantılarının Planlanması</w:t>
      </w:r>
    </w:p>
    <w:p>
      <w:pPr>
        <w:jc w:val="both"/>
        <w:spacing w:after="120"/>
      </w:pPr>
      <w:r>
        <w:rPr>
          <w:rFonts w:ascii="Times New Roman" w:hAnsi="Times New Roman" w:eastAsia="Times New Roman" w:cs="Times New Roman"/>
          <w:sz w:val="24"/>
          <w:szCs w:val="24"/>
        </w:rPr>
        <w:t xml:space="preserve">Okul aile iş birliği ve veli toplantılarında Türkçe dersine ilişkin ele alınacak konular değerlendirildi. Öğrencilerin okuma alışkanlığı, ders çalışma düzeni, yazılı ve sözlü ifade becerileri, devam durumu ve destek ihtiyacı gibi konularda ailelerle düzenli ve yapıcı iletişim kurulmasının yararlı olacağı belirtildi. Veli bilgilendirmelerinde öğrencilerin bireysel özelliklerine ve gizliliğe dikkat edilmesi, ailelere uygulanabilir öneriler sunulması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okul ve aile arasında kurulan düzenli iş birliğinin öğrencinin akademik ve sosyal gelişimini desteklediğini ifade etti.</w:t>
      </w:r>
    </w:p>
    <w:p/>
    <w:p>
      <w:pPr>
        <w:jc w:val="left"/>
        <w:spacing w:after="80"/>
      </w:pPr>
      <w:r>
        <w:rPr>
          <w:rFonts w:ascii="Times New Roman" w:hAnsi="Times New Roman" w:eastAsia="Times New Roman" w:cs="Times New Roman"/>
          <w:sz w:val="24"/>
          <w:szCs w:val="24"/>
          <w:b w:val="1"/>
          <w:bCs w:val="1"/>
        </w:rPr>
        <w:t xml:space="preserve">37) Önleme, Müdahale Ve Yönlendirme Çalışmalarının Planlanması</w:t>
      </w:r>
    </w:p>
    <w:p>
      <w:pPr>
        <w:jc w:val="both"/>
        <w:spacing w:after="120"/>
      </w:pPr>
      <w:r>
        <w:rPr>
          <w:rFonts w:ascii="Times New Roman" w:hAnsi="Times New Roman" w:eastAsia="Times New Roman" w:cs="Times New Roman"/>
          <w:sz w:val="24"/>
          <w:szCs w:val="24"/>
        </w:rPr>
        <w:t xml:space="preserve">Önleme, müdahale ve yönlendirme çalışmalarında rehberlik servisi, okul yönetimi ve öğretmenler arasında düzenli bilgi paylaşımı yapılması gerektiği belirtildi. Önleme, müdahale ve yönlendirme çalışmalarında rehberlik servisi, okul yönetimi ve öğretmenler arasında düzenli bilgi paylaşımı yapılması gerektiği belirtildi. Risk görülen durumlarda erken fark etme ve uygun yönlendirme süreçlerinin işletilmesi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riskli durumlarda erken fark etme ve doğru yönlendirme sürecinin önem taşıdığını belirtti.</w:t>
      </w:r>
    </w:p>
    <w:p/>
    <w:p>
      <w:pPr>
        <w:jc w:val="left"/>
        <w:spacing w:after="80"/>
      </w:pPr>
      <w:r>
        <w:rPr>
          <w:rFonts w:ascii="Times New Roman" w:hAnsi="Times New Roman" w:eastAsia="Times New Roman" w:cs="Times New Roman"/>
          <w:sz w:val="24"/>
          <w:szCs w:val="24"/>
          <w:b w:val="1"/>
          <w:bCs w:val="1"/>
        </w:rPr>
        <w:t xml:space="preserve">38) Okul İçi Ve Okul Dışı Faaliyetlerde Araç, Gereç, Mali Kaynak Ve Diğer İhtiyaçların Belirlenmesi</w:t>
      </w:r>
    </w:p>
    <w:p>
      <w:pPr>
        <w:jc w:val="both"/>
        <w:spacing w:after="120"/>
      </w:pPr>
      <w:r>
        <w:rPr>
          <w:rFonts w:ascii="Times New Roman" w:hAnsi="Times New Roman" w:eastAsia="Times New Roman" w:cs="Times New Roman"/>
          <w:sz w:val="24"/>
          <w:szCs w:val="24"/>
        </w:rPr>
        <w:t xml:space="preserve">Okul içi ve okul dışı faaliyetlerde gerekli araç, gereç, materyal, mali kaynak, ulaşım, fiziki ortam, izin ve diğer ihtiyaçlar değerlendirildi. Faaliyetlerin uygulanabilir biçimde planlanabilmesi için ihtiyaçların önceden belirlenmesi, okulun mevcut imkânlarından öncelikle yararlanılması ve kaynakların verimli kullanılması gerektiği belirtildi. Gerekli durumlarda okul yönetimi, aileler ve ilgili kurumlarla iş birliği yapılması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ihtiyaç planlamasında eğitim amacı, öğrenci güvenliği, erişilebilirlik ve kaynakların verimli kullanımının birlikte dikkate alınması gerektiğini ifade etti.</w:t>
      </w:r>
    </w:p>
    <w:p/>
    <w:p>
      <w:pPr>
        <w:jc w:val="left"/>
        <w:spacing w:after="80"/>
      </w:pPr>
      <w:r>
        <w:rPr>
          <w:rFonts w:ascii="Times New Roman" w:hAnsi="Times New Roman" w:eastAsia="Times New Roman" w:cs="Times New Roman"/>
          <w:sz w:val="24"/>
          <w:szCs w:val="24"/>
          <w:b w:val="1"/>
          <w:bCs w:val="1"/>
        </w:rPr>
        <w:t xml:space="preserve">39) İş Sağlığı Ve Güvenliği Tedbirlerinin Değerlendirilmesi</w:t>
      </w:r>
    </w:p>
    <w:p>
      <w:pPr>
        <w:jc w:val="both"/>
        <w:spacing w:after="120"/>
      </w:pPr>
      <w:r>
        <w:rPr>
          <w:rFonts w:ascii="Times New Roman" w:hAnsi="Times New Roman" w:eastAsia="Times New Roman" w:cs="Times New Roman"/>
          <w:sz w:val="24"/>
          <w:szCs w:val="24"/>
        </w:rPr>
        <w:t xml:space="preserve">İş sağlığı ve güvenliği kapsamında sınıf, kütüphane, laboratuvar, atölye, salon ve okul dışı etkinliklerde alınması gereken tedbirler değerlendirildi. Kullanılacak araç gereçlerin güvenli olması, öğrencilerin etkinlik öncesinde gerekli kurallar hakkında bilgilendirilmesi ve risk oluşturabilecek durumların zamanında okul yönetimine bildirilmesi gerektiği belirtildi. Okul dışı faaliyetlerde ulaşım, izin, gözetim ve acil durum tedbirlerinin önceden planlanması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 ve çalışan güvenliğini önceleyen uygulamaların tüm eğitim faaliyetlerinde kesintisiz sürdürülmesi gerektiğini ifade etti.</w:t>
      </w:r>
    </w:p>
    <w:p/>
    <w:p>
      <w:pPr>
        <w:jc w:val="left"/>
        <w:spacing w:after="80"/>
      </w:pPr>
      <w:r>
        <w:rPr>
          <w:rFonts w:ascii="Times New Roman" w:hAnsi="Times New Roman" w:eastAsia="Times New Roman" w:cs="Times New Roman"/>
          <w:sz w:val="24"/>
          <w:szCs w:val="24"/>
          <w:b w:val="1"/>
          <w:bCs w:val="1"/>
        </w:rPr>
        <w:t xml:space="preserve">40) Dilek Ve Temenniler</w:t>
      </w:r>
    </w:p>
    <w:p>
      <w:pPr>
        <w:jc w:val="both"/>
        <w:spacing w:after="120"/>
      </w:pPr>
      <w:r>
        <w:rPr>
          <w:rFonts w:ascii="Times New Roman" w:hAnsi="Times New Roman" w:eastAsia="Times New Roman" w:cs="Times New Roman"/>
          <w:sz w:val="24"/>
          <w:szCs w:val="24"/>
        </w:rPr>
        <w:t xml:space="preserve">Katılımcıların dersin işlenişi, öğrenci takibi ve dönem içinde yapılacak çalışmalarla ilgili önerileri alındı. Katılımcılar dersin işlenişi, öğrenci takibi, materyal ihtiyacı ve dönem içinde yapılacak çalışmalarla ilgili önerilerini paylaştı. Önerilerin uygun görülenlerinin zümre çalışmaları içinde dikkate alınması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önerilerin zümre çalışmaları içinde dikkate alınmasının yararlı olacağını ifade etti.</w:t>
      </w:r>
    </w:p>
    <w:p/>
    <w:p>
      <w:pPr>
        <w:jc w:val="left"/>
        <w:spacing w:after="80"/>
      </w:pPr>
      <w:r>
        <w:rPr>
          <w:rFonts w:ascii="Times New Roman" w:hAnsi="Times New Roman" w:eastAsia="Times New Roman" w:cs="Times New Roman"/>
          <w:sz w:val="24"/>
          <w:szCs w:val="24"/>
          <w:b w:val="1"/>
          <w:bCs w:val="1"/>
        </w:rPr>
        <w:t xml:space="preserve">41) Kapanış</w:t>
      </w:r>
    </w:p>
    <w:p>
      <w:pPr>
        <w:jc w:val="both"/>
        <w:spacing w:after="120"/>
      </w:pPr>
      <w:r>
        <w:rPr>
          <w:rFonts w:ascii="Times New Roman" w:hAnsi="Times New Roman" w:eastAsia="Times New Roman" w:cs="Times New Roman"/>
          <w:sz w:val="24"/>
          <w:szCs w:val="24"/>
        </w:rPr>
        <w:t xml:space="preserve">Alınan kararların uygulanması ve süreç içinde izlenmesi gerektiği belirtilerek toplantı çalışmaları tamamlandı. Toplantıda alınan kararların uygulanması, izlenmesi ve ihtiyaç duyulduğunda zümre içinde yeniden paylaşılması gerektiği belirtildi. Katılımcılara teşekkür edilerek toplantı süreci tamamlandı.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alınan kararların uygulanması ve süreç içinde takip edilmesi gerektiğini belirtti.</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TÜRKÇE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ALINAN KARARLAR</w:t>
      </w:r>
    </w:p>
    <w:p>
      <w:pPr>
        <w:jc w:val="both"/>
        <w:spacing w:after="120"/>
      </w:pPr>
      <w:r>
        <w:rPr>
          <w:rFonts w:ascii="Times New Roman" w:hAnsi="Times New Roman" w:eastAsia="Times New Roman" w:cs="Times New Roman"/>
          <w:sz w:val="24"/>
          <w:szCs w:val="24"/>
        </w:rPr>
        <w:t xml:space="preserve">1) Toplantının açılışının yapılmasına, yoklamanın alınmasına ve görüşmelerin tutanak düzenine uygun biçimde yürütülmesine karar verildi.</w:t>
      </w:r>
    </w:p>
    <w:p>
      <w:pPr>
        <w:jc w:val="both"/>
        <w:spacing w:after="120"/>
      </w:pPr>
      <w:r>
        <w:rPr>
          <w:rFonts w:ascii="Times New Roman" w:hAnsi="Times New Roman" w:eastAsia="Times New Roman" w:cs="Times New Roman"/>
          <w:sz w:val="24"/>
          <w:szCs w:val="24"/>
        </w:rPr>
        <w:t xml:space="preserve">2) Gündem maddelerinin okunmasına ve görüşmelerin belirlenen gündem sırasına göre yürütülmesine karar verildi.</w:t>
      </w:r>
    </w:p>
    <w:p>
      <w:pPr>
        <w:jc w:val="both"/>
        <w:spacing w:after="120"/>
      </w:pPr>
      <w:r>
        <w:rPr>
          <w:rFonts w:ascii="Times New Roman" w:hAnsi="Times New Roman" w:eastAsia="Times New Roman" w:cs="Times New Roman"/>
          <w:sz w:val="24"/>
          <w:szCs w:val="24"/>
        </w:rPr>
        <w:t xml:space="preserve">3) Önceki toplantıda alınan kararların uygulanma durumunun değerlendirilmesine, devam eden çalışmaların yeni dönem planlamalarına yansıtılmasına karar verildi.</w:t>
      </w:r>
    </w:p>
    <w:p>
      <w:pPr>
        <w:jc w:val="both"/>
        <w:spacing w:after="120"/>
      </w:pPr>
      <w:r>
        <w:rPr>
          <w:rFonts w:ascii="Times New Roman" w:hAnsi="Times New Roman" w:eastAsia="Times New Roman" w:cs="Times New Roman"/>
          <w:sz w:val="24"/>
          <w:szCs w:val="24"/>
        </w:rPr>
        <w:t xml:space="preserve">4) Zümre görev dağılımının, toplantı işleyişinin ve karar takip sürecinin açık ve izlenebilir biçimde yürütülmesine karar verildi.</w:t>
      </w:r>
    </w:p>
    <w:p>
      <w:pPr>
        <w:jc w:val="both"/>
        <w:spacing w:after="120"/>
      </w:pPr>
      <w:r>
        <w:rPr>
          <w:rFonts w:ascii="Times New Roman" w:hAnsi="Times New Roman" w:eastAsia="Times New Roman" w:cs="Times New Roman"/>
          <w:sz w:val="24"/>
          <w:szCs w:val="24"/>
        </w:rPr>
        <w:t xml:space="preserve">5) Mevzuattaki güncel emir, genelge ve tebliğlerin takip edilmesine ve gerekli değişikliklerin Türkçe dersi planlama ve uygulamalarına zamanında yansıtılmasına karar verildi.</w:t>
      </w:r>
    </w:p>
    <w:p>
      <w:pPr>
        <w:jc w:val="both"/>
        <w:spacing w:after="120"/>
      </w:pPr>
      <w:r>
        <w:rPr>
          <w:rFonts w:ascii="Times New Roman" w:hAnsi="Times New Roman" w:eastAsia="Times New Roman" w:cs="Times New Roman"/>
          <w:sz w:val="24"/>
          <w:szCs w:val="24"/>
        </w:rPr>
        <w:t xml:space="preserve">6) Planlamaların eğitim ve öğretim mevzuatı, okulun amaçları, öğretim programı, sınıf düzeyi ve Türkiye Yüzyılı Maarif Modeli ile uyumlu hazırlanmasına karar verildi.</w:t>
      </w:r>
    </w:p>
    <w:p>
      <w:pPr>
        <w:jc w:val="both"/>
        <w:spacing w:after="120"/>
      </w:pPr>
      <w:r>
        <w:rPr>
          <w:rFonts w:ascii="Times New Roman" w:hAnsi="Times New Roman" w:eastAsia="Times New Roman" w:cs="Times New Roman"/>
          <w:sz w:val="24"/>
          <w:szCs w:val="24"/>
        </w:rPr>
        <w:t xml:space="preserve">7) Zümre çalışmalarının 28 Temmuz 2026 tarihli Yönetmelik değişikliğinde belirtilen hususlar doğrultusunda yürütülmesine; öğretim programı, Erdem-Değer-Eylem Çerçevesi, okuryazarlık ve sosyal-duygusal öğrenme becerileri, program dışı etkinlikler, okul temelli planlama, farklılaştırılmış öğretim, ders planları, öğretim yöntem ve teknikleri, ölçme-değerlendirme, öğrenci başarı ve gelişimi, eğitim ortamları ve ders araç gereçlerine ilişkin çalışmaların zümre toplantılarında değerlendirilmesine; okulun çevre imkânlarının analiz edilmesine ve gerekli iş birliklerinin yapılmasına karar verildi.</w:t>
      </w:r>
    </w:p>
    <w:p>
      <w:pPr>
        <w:jc w:val="both"/>
        <w:spacing w:after="120"/>
      </w:pPr>
      <w:r>
        <w:rPr>
          <w:rFonts w:ascii="Times New Roman" w:hAnsi="Times New Roman" w:eastAsia="Times New Roman" w:cs="Times New Roman"/>
          <w:sz w:val="24"/>
          <w:szCs w:val="24"/>
        </w:rPr>
        <w:t xml:space="preserve">8) 2026-2027 eğitim öğretim yılı süresince zümreye ait eğitim, öğretim, ölçme ve değerlendirme çalışmalarının 2026/70 sayılı Genelgede belirtilen esaslar doğrultusunda yürütülmesine; Türkiye Yüzyılı Maarif Modeli’nin öngördüğü beceri ve değer temelli yaklaşımın derslere yansıtılmasına, ortak yazılı sınavlarda konu-soru dağılım tablolarının esas alınmasına ve açık uçlu veya açık uçlu-kısa cevaplı sorulara yer verilmesine; Bakanlıkça sunulan eğitim materyalleri ve dijital platformlardan etkin biçimde yararlanılmasına oy birliğiyle karar verildi.</w:t>
      </w:r>
    </w:p>
    <w:p>
      <w:pPr>
        <w:jc w:val="both"/>
        <w:spacing w:after="120"/>
      </w:pPr>
      <w:r>
        <w:rPr>
          <w:rFonts w:ascii="Times New Roman" w:hAnsi="Times New Roman" w:eastAsia="Times New Roman" w:cs="Times New Roman"/>
          <w:sz w:val="24"/>
          <w:szCs w:val="24"/>
        </w:rPr>
        <w:t xml:space="preserve">9) 5, 6 ve 7. sınıflarda Türkiye Yüzyılı Maarif Modeli kapsamındaki öğrenme çıktıları ve ders içeriklerinin sınıf düzeyine uygun biçimde uygulanmasına, öğretmenler arasında materyal ve uygulama paylaşımı yapılmasına karar verildi.</w:t>
      </w:r>
    </w:p>
    <w:p>
      <w:pPr>
        <w:jc w:val="both"/>
        <w:spacing w:after="120"/>
      </w:pPr>
      <w:r>
        <w:rPr>
          <w:rFonts w:ascii="Times New Roman" w:hAnsi="Times New Roman" w:eastAsia="Times New Roman" w:cs="Times New Roman"/>
          <w:sz w:val="24"/>
          <w:szCs w:val="24"/>
        </w:rPr>
        <w:t xml:space="preserve">10) Öğretim programı, çevre özellikleri, tema, konu, kazanım ve öğrenme çıktıları ile yıllık planların, ders planlarının ve çalışma takviminin birbiriyle uyumlu biçimde düzenlenmesine karar verildi.</w:t>
      </w:r>
    </w:p>
    <w:p>
      <w:pPr>
        <w:jc w:val="both"/>
        <w:spacing w:after="120"/>
      </w:pPr>
      <w:r>
        <w:rPr>
          <w:rFonts w:ascii="Times New Roman" w:hAnsi="Times New Roman" w:eastAsia="Times New Roman" w:cs="Times New Roman"/>
          <w:sz w:val="24"/>
          <w:szCs w:val="24"/>
        </w:rPr>
        <w:t xml:space="preserve">11) Atatürkçülük konuları ile Erdem-Değer-Eylem Çerçevesi kapsamındaki değerlerin ve millî, manevi, ahlaki değerlerin Türkçe dersinin doğal akışıyla ilişkilendirilmesine karar verildi.</w:t>
      </w:r>
    </w:p>
    <w:p>
      <w:pPr>
        <w:jc w:val="both"/>
        <w:spacing w:after="120"/>
      </w:pPr>
      <w:r>
        <w:rPr>
          <w:rFonts w:ascii="Times New Roman" w:hAnsi="Times New Roman" w:eastAsia="Times New Roman" w:cs="Times New Roman"/>
          <w:sz w:val="24"/>
          <w:szCs w:val="24"/>
        </w:rPr>
        <w:t xml:space="preserve">12) Öğretim yöntem ve tekniklerinin öğrenci düzeyi ve öğrenme çıktısına uygun seçilmesine, okul temelli planlama kapsamında okulun ihtiyaç ve imkânlarına uygun çalışmalar yapılmasına karar verildi.</w:t>
      </w:r>
    </w:p>
    <w:p>
      <w:pPr>
        <w:jc w:val="both"/>
        <w:spacing w:after="120"/>
      </w:pPr>
      <w:r>
        <w:rPr>
          <w:rFonts w:ascii="Times New Roman" w:hAnsi="Times New Roman" w:eastAsia="Times New Roman" w:cs="Times New Roman"/>
          <w:sz w:val="24"/>
          <w:szCs w:val="24"/>
        </w:rPr>
        <w:t xml:space="preserve">13) Öğrenme çıktılarının izlenmesinde yazılı ve sözlü çalışmalar, gözlem, kontrol listesi, dereceli puanlama anahtarı, öğrenci ürünü ve benzeri uygun ölçme değerlendirme araçlarının kullanılmasına karar verildi.</w:t>
      </w:r>
    </w:p>
    <w:p>
      <w:pPr>
        <w:jc w:val="both"/>
        <w:spacing w:after="120"/>
      </w:pPr>
      <w:r>
        <w:rPr>
          <w:rFonts w:ascii="Times New Roman" w:hAnsi="Times New Roman" w:eastAsia="Times New Roman" w:cs="Times New Roman"/>
          <w:sz w:val="24"/>
          <w:szCs w:val="24"/>
        </w:rPr>
        <w:t xml:space="preserve">14) Sınavların şekli, sayısı, süresi ve değerlendirme esaslarının ilgili mevzuat, sınıf düzeyi ve öğretim programına uygun biçimde belirlenmesine karar verildi.</w:t>
      </w:r>
    </w:p>
    <w:p>
      <w:pPr>
        <w:jc w:val="both"/>
        <w:spacing w:after="120"/>
      </w:pPr>
      <w:r>
        <w:rPr>
          <w:rFonts w:ascii="Times New Roman" w:hAnsi="Times New Roman" w:eastAsia="Times New Roman" w:cs="Times New Roman"/>
          <w:sz w:val="24"/>
          <w:szCs w:val="24"/>
        </w:rPr>
        <w:t xml:space="preserve">15) Ülke, il, ilçe ve okul geneli ortak sınavlar ile mazeret sınavlarının ilgili takvim ve mevzuata uygun yürütülmesine, sonuçların zümre tarafından değerlendirilmesine karar verildi.</w:t>
      </w:r>
    </w:p>
    <w:p>
      <w:pPr>
        <w:jc w:val="both"/>
        <w:spacing w:after="120"/>
      </w:pPr>
      <w:r>
        <w:rPr>
          <w:rFonts w:ascii="Times New Roman" w:hAnsi="Times New Roman" w:eastAsia="Times New Roman" w:cs="Times New Roman"/>
          <w:sz w:val="24"/>
          <w:szCs w:val="24"/>
        </w:rPr>
        <w:t xml:space="preserve">16) Konu soru dağılım tablolarının sınav hazırlığında esas alınmasına, sınav analizlerinden hareketle eksik öğrenmeler için destekleyici çalışmalar planlanmasına karar verildi.</w:t>
      </w:r>
    </w:p>
    <w:p>
      <w:pPr>
        <w:jc w:val="both"/>
        <w:spacing w:after="120"/>
      </w:pPr>
      <w:r>
        <w:rPr>
          <w:rFonts w:ascii="Times New Roman" w:hAnsi="Times New Roman" w:eastAsia="Times New Roman" w:cs="Times New Roman"/>
          <w:sz w:val="24"/>
          <w:szCs w:val="24"/>
        </w:rPr>
        <w:t xml:space="preserve">17) Soru ve cevap anahtarları ile dereceli puanlama anahtarları, kontrol listeleri ve değerlendirme ölçeklerinin açık, ölçülebilir ve ortak değerlendirme ölçütü sağlayacak biçimde hazırlanmasına karar verildi.</w:t>
      </w:r>
    </w:p>
    <w:p>
      <w:pPr>
        <w:jc w:val="both"/>
        <w:spacing w:after="120"/>
      </w:pPr>
      <w:r>
        <w:rPr>
          <w:rFonts w:ascii="Times New Roman" w:hAnsi="Times New Roman" w:eastAsia="Times New Roman" w:cs="Times New Roman"/>
          <w:sz w:val="24"/>
          <w:szCs w:val="24"/>
        </w:rPr>
        <w:t xml:space="preserve">18) Sözlü anlatım, uygulamalı etkinlik ve ürün değerlendirme süreçlerinde uygun ölçütlerin önceden belirlenmesine ve süreç ile ürünün birlikte değerlendirilmesine karar verildi.</w:t>
      </w:r>
    </w:p>
    <w:p>
      <w:pPr>
        <w:jc w:val="both"/>
        <w:spacing w:after="120"/>
      </w:pPr>
      <w:r>
        <w:rPr>
          <w:rFonts w:ascii="Times New Roman" w:hAnsi="Times New Roman" w:eastAsia="Times New Roman" w:cs="Times New Roman"/>
          <w:sz w:val="24"/>
          <w:szCs w:val="24"/>
        </w:rPr>
        <w:t xml:space="preserve">19) Ulusal ve uluslararası sınav, yarışma ve etkinlik sonuçlarının öğrenci gelişimini izleyen tamamlayıcı veriler olarak değerlendirilmesine ve gerekli destek çalışmalarında kullanılmasına karar verildi.</w:t>
      </w:r>
    </w:p>
    <w:p>
      <w:pPr>
        <w:jc w:val="both"/>
        <w:spacing w:after="120"/>
      </w:pPr>
      <w:r>
        <w:rPr>
          <w:rFonts w:ascii="Times New Roman" w:hAnsi="Times New Roman" w:eastAsia="Times New Roman" w:cs="Times New Roman"/>
          <w:sz w:val="24"/>
          <w:szCs w:val="24"/>
        </w:rPr>
        <w:t xml:space="preserve">20) LGS kapsamındaki sınava hazırlık çalışmalarının düzenli izleme, tekrar, soru çözümü ve kazanım eksiklerine yönelik destek uygulamalarıyla yürütülmesine karar verildi.</w:t>
      </w:r>
    </w:p>
    <w:p>
      <w:pPr>
        <w:jc w:val="both"/>
        <w:spacing w:after="120"/>
      </w:pPr>
      <w:r>
        <w:rPr>
          <w:rFonts w:ascii="Times New Roman" w:hAnsi="Times New Roman" w:eastAsia="Times New Roman" w:cs="Times New Roman"/>
          <w:sz w:val="24"/>
          <w:szCs w:val="24"/>
        </w:rPr>
        <w:t xml:space="preserve">21) Öğrencilerin başarı ve gelişim düzeylerinin düzenli izlenmesine, eksik öğrenmeler ve risk görülen öğrenciler için destekleyici eylem planları hazırlanmasına karar verildi.</w:t>
      </w:r>
    </w:p>
    <w:p>
      <w:pPr>
        <w:jc w:val="both"/>
        <w:spacing w:after="120"/>
      </w:pPr>
      <w:r>
        <w:rPr>
          <w:rFonts w:ascii="Times New Roman" w:hAnsi="Times New Roman" w:eastAsia="Times New Roman" w:cs="Times New Roman"/>
          <w:sz w:val="24"/>
          <w:szCs w:val="24"/>
        </w:rPr>
        <w:t xml:space="preserve">22) Performans görevi, proje ve öğrenci ürünlerinin araştırma, üretme, sunma ve süreç içindeki gelişimi dikkate alan uygun ölçütlerle değerlendirilmesine karar verildi.</w:t>
      </w:r>
    </w:p>
    <w:p>
      <w:pPr>
        <w:jc w:val="both"/>
        <w:spacing w:after="120"/>
      </w:pPr>
      <w:r>
        <w:rPr>
          <w:rFonts w:ascii="Times New Roman" w:hAnsi="Times New Roman" w:eastAsia="Times New Roman" w:cs="Times New Roman"/>
          <w:sz w:val="24"/>
          <w:szCs w:val="24"/>
        </w:rPr>
        <w:t xml:space="preserve">23) Proje, performans ve etkinlik çalışmalarının öğretim programı, öğrenci düzeyi, okul ve çevre şartları dikkate alınarak planlanmasına karar verildi.</w:t>
      </w:r>
    </w:p>
    <w:p>
      <w:pPr>
        <w:jc w:val="both"/>
        <w:spacing w:after="120"/>
      </w:pPr>
      <w:r>
        <w:rPr>
          <w:rFonts w:ascii="Times New Roman" w:hAnsi="Times New Roman" w:eastAsia="Times New Roman" w:cs="Times New Roman"/>
          <w:sz w:val="24"/>
          <w:szCs w:val="24"/>
        </w:rPr>
        <w:t xml:space="preserve">24) Ders kitapları, ders araç gereçleri, öğretim materyalleri, kaynaklar ve bilişim araçlarının öğretim programına ve öğrenci düzeyine uygun, güvenli ve verimli biçimde kullanılmasına karar verildi.</w:t>
      </w:r>
    </w:p>
    <w:p>
      <w:pPr>
        <w:jc w:val="both"/>
        <w:spacing w:after="120"/>
      </w:pPr>
      <w:r>
        <w:rPr>
          <w:rFonts w:ascii="Times New Roman" w:hAnsi="Times New Roman" w:eastAsia="Times New Roman" w:cs="Times New Roman"/>
          <w:sz w:val="24"/>
          <w:szCs w:val="24"/>
        </w:rPr>
        <w:t xml:space="preserve">25) Okulun fiziki mekânları ile laboratuvar, kütüphane, spor salonu, atölye ve benzeri eğitim ortamlarının dersin amacı ve öğrenci güvenliği doğrultusunda planlı biçimde kullanılmasına karar verildi.</w:t>
      </w:r>
    </w:p>
    <w:p>
      <w:pPr>
        <w:jc w:val="both"/>
        <w:spacing w:after="120"/>
      </w:pPr>
      <w:r>
        <w:rPr>
          <w:rFonts w:ascii="Times New Roman" w:hAnsi="Times New Roman" w:eastAsia="Times New Roman" w:cs="Times New Roman"/>
          <w:sz w:val="24"/>
          <w:szCs w:val="24"/>
        </w:rPr>
        <w:t xml:space="preserve">26) Okulun çevre imkânlarının analiz edilmesine; uygun çevre olanaklarından gezi, gözlem, deney, araştırma, anket, proje ve okul dışı öğrenme çalışmalarında yararlanılmasına ve gerekli kurumlarla iş birliği yapılmasına karar verildi.</w:t>
      </w:r>
    </w:p>
    <w:p>
      <w:pPr>
        <w:jc w:val="both"/>
        <w:spacing w:after="120"/>
      </w:pPr>
      <w:r>
        <w:rPr>
          <w:rFonts w:ascii="Times New Roman" w:hAnsi="Times New Roman" w:eastAsia="Times New Roman" w:cs="Times New Roman"/>
          <w:sz w:val="24"/>
          <w:szCs w:val="24"/>
        </w:rPr>
        <w:t xml:space="preserve">27) BEP, özel eğitim, farklılaştırılmış öğretim, zenginleştirme ve destekleme çalışmalarının öğrencilerin bireysel ihtiyaçlarına göre planlanmasına ve gerekli uyarlamaların ders planlarına yansıtılmasına karar verildi.</w:t>
      </w:r>
    </w:p>
    <w:p>
      <w:pPr>
        <w:jc w:val="both"/>
        <w:spacing w:after="120"/>
      </w:pPr>
      <w:r>
        <w:rPr>
          <w:rFonts w:ascii="Times New Roman" w:hAnsi="Times New Roman" w:eastAsia="Times New Roman" w:cs="Times New Roman"/>
          <w:sz w:val="24"/>
          <w:szCs w:val="24"/>
        </w:rPr>
        <w:t xml:space="preserve">28) Her öğretmenin eğitim öğretim yılı içinde en az bir ders ziyareti gerçekleştirmesine, yapıcı geri dönüt ve mesleki paylaşım çalışmalarının zümreler arası iş birliğiyle yürütülmesine karar verildi.</w:t>
      </w:r>
    </w:p>
    <w:p>
      <w:pPr>
        <w:jc w:val="both"/>
        <w:spacing w:after="120"/>
      </w:pPr>
      <w:r>
        <w:rPr>
          <w:rFonts w:ascii="Times New Roman" w:hAnsi="Times New Roman" w:eastAsia="Times New Roman" w:cs="Times New Roman"/>
          <w:sz w:val="24"/>
          <w:szCs w:val="24"/>
        </w:rPr>
        <w:t xml:space="preserve">29) Türkçe alanındaki akademik, bilimsel ve teknolojik gelişmelerin takip edilmesine ve uygun örneklerin ders uygulamalarına yansıtılmasına karar verildi.</w:t>
      </w:r>
    </w:p>
    <w:p>
      <w:pPr>
        <w:jc w:val="both"/>
        <w:spacing w:after="120"/>
      </w:pPr>
      <w:r>
        <w:rPr>
          <w:rFonts w:ascii="Times New Roman" w:hAnsi="Times New Roman" w:eastAsia="Times New Roman" w:cs="Times New Roman"/>
          <w:sz w:val="24"/>
          <w:szCs w:val="24"/>
        </w:rPr>
        <w:t xml:space="preserve">30) Öğrencilerin girişimcilik, araştırma-geliştirme ve tasarım becerilerini destekleyen proje, problem çözme ve ürün geliştirme çalışmalarına yer verilmesine karar verildi.</w:t>
      </w:r>
    </w:p>
    <w:p>
      <w:pPr>
        <w:jc w:val="both"/>
        <w:spacing w:after="120"/>
      </w:pPr>
      <w:r>
        <w:rPr>
          <w:rFonts w:ascii="Times New Roman" w:hAnsi="Times New Roman" w:eastAsia="Times New Roman" w:cs="Times New Roman"/>
          <w:sz w:val="24"/>
          <w:szCs w:val="24"/>
        </w:rPr>
        <w:t xml:space="preserve">31) Türkçe dersinin diğer derslerle ilişkilendirilebileceği konu ve öğrenme çıktıları doğrultusunda uygulanabilir disiplinler arası çalışmalar planlanmasına karar verildi.</w:t>
      </w:r>
    </w:p>
    <w:p>
      <w:pPr>
        <w:jc w:val="both"/>
        <w:spacing w:after="120"/>
      </w:pPr>
      <w:r>
        <w:rPr>
          <w:rFonts w:ascii="Times New Roman" w:hAnsi="Times New Roman" w:eastAsia="Times New Roman" w:cs="Times New Roman"/>
          <w:sz w:val="24"/>
          <w:szCs w:val="24"/>
        </w:rPr>
        <w:t xml:space="preserve">32) Okuryazarlık becerileri, üst düzey düşünme ve sosyal-duygusal öğrenme becerilerinin Türkçe dersindeki etkinliklerle düzenli biçimde desteklenmesine karar verildi.</w:t>
      </w:r>
    </w:p>
    <w:p>
      <w:pPr>
        <w:jc w:val="both"/>
        <w:spacing w:after="120"/>
      </w:pPr>
      <w:r>
        <w:rPr>
          <w:rFonts w:ascii="Times New Roman" w:hAnsi="Times New Roman" w:eastAsia="Times New Roman" w:cs="Times New Roman"/>
          <w:sz w:val="24"/>
          <w:szCs w:val="24"/>
        </w:rPr>
        <w:t xml:space="preserve">33) Öğrencilerin bedensel, zihinsel, duygusal, sosyal ve ahlaki gelişimlerini bütüncül biçimde destekleyen çalışmaların yürütülmesine karar verildi.</w:t>
      </w:r>
    </w:p>
    <w:p>
      <w:pPr>
        <w:jc w:val="both"/>
        <w:spacing w:after="120"/>
      </w:pPr>
      <w:r>
        <w:rPr>
          <w:rFonts w:ascii="Times New Roman" w:hAnsi="Times New Roman" w:eastAsia="Times New Roman" w:cs="Times New Roman"/>
          <w:sz w:val="24"/>
          <w:szCs w:val="24"/>
        </w:rPr>
        <w:t xml:space="preserve">34) Program dışı etkinlikler kapsamında sosyal sorumluluk, sosyal-kültürel, sanatsal ve sportif çalışmaların öğrenci düzeyi, gönüllülük, okul imkânları ve güvenlik koşulları dikkate alınarak planlanmasına karar verildi.</w:t>
      </w:r>
    </w:p>
    <w:p>
      <w:pPr>
        <w:jc w:val="both"/>
        <w:spacing w:after="120"/>
      </w:pPr>
      <w:r>
        <w:rPr>
          <w:rFonts w:ascii="Times New Roman" w:hAnsi="Times New Roman" w:eastAsia="Times New Roman" w:cs="Times New Roman"/>
          <w:sz w:val="24"/>
          <w:szCs w:val="24"/>
        </w:rPr>
        <w:t xml:space="preserve">35) Öğrencilerin yaş, ilgi ve yeteneklerine uygun yarışma, proje ve etkinliklere katılımlarının gönüllülük esasına göre desteklenmesine karar verildi.</w:t>
      </w:r>
    </w:p>
    <w:p>
      <w:pPr>
        <w:jc w:val="both"/>
        <w:spacing w:after="120"/>
      </w:pPr>
      <w:r>
        <w:rPr>
          <w:rFonts w:ascii="Times New Roman" w:hAnsi="Times New Roman" w:eastAsia="Times New Roman" w:cs="Times New Roman"/>
          <w:sz w:val="24"/>
          <w:szCs w:val="24"/>
        </w:rPr>
        <w:t xml:space="preserve">36) Okul aile iş birliğinin güçlendirilmesine, veli toplantılarında öğrencilerin akademik ve sosyal gelişimine ilişkin düzenli ve yapıcı bilgilendirme yapılmasına karar verildi.</w:t>
      </w:r>
    </w:p>
    <w:p>
      <w:pPr>
        <w:jc w:val="both"/>
        <w:spacing w:after="120"/>
      </w:pPr>
      <w:r>
        <w:rPr>
          <w:rFonts w:ascii="Times New Roman" w:hAnsi="Times New Roman" w:eastAsia="Times New Roman" w:cs="Times New Roman"/>
          <w:sz w:val="24"/>
          <w:szCs w:val="24"/>
        </w:rPr>
        <w:t xml:space="preserve">37) Önleme, müdahale ve yönlendirme çalışmalarının rehberlik servisi, okul yönetimi, öğretmenler ve gerektiğinde ailelerle iş birliği içinde yürütülmesine karar verildi.</w:t>
      </w:r>
    </w:p>
    <w:p>
      <w:pPr>
        <w:jc w:val="both"/>
        <w:spacing w:after="120"/>
      </w:pPr>
      <w:r>
        <w:rPr>
          <w:rFonts w:ascii="Times New Roman" w:hAnsi="Times New Roman" w:eastAsia="Times New Roman" w:cs="Times New Roman"/>
          <w:sz w:val="24"/>
          <w:szCs w:val="24"/>
        </w:rPr>
        <w:t xml:space="preserve">38) Okul içi ve okul dışı faaliyetler için gerekli araç, gereç, materyal, mali kaynak, ulaşım, izin ve diğer ihtiyaçların önceden belirlenerek gerekli planlamaların yapılmasına karar verildi.</w:t>
      </w:r>
    </w:p>
    <w:p>
      <w:pPr>
        <w:jc w:val="both"/>
        <w:spacing w:after="120"/>
      </w:pPr>
      <w:r>
        <w:rPr>
          <w:rFonts w:ascii="Times New Roman" w:hAnsi="Times New Roman" w:eastAsia="Times New Roman" w:cs="Times New Roman"/>
          <w:sz w:val="24"/>
          <w:szCs w:val="24"/>
        </w:rPr>
        <w:t xml:space="preserve">39) İş sağlığı ve güvenliği tedbirlerinin sınıf içi, okul içi ve okul dışı tüm eğitim faaliyetlerinde uygulanmasına ve risklerin zamanında bildirilmesine karar verildi.</w:t>
      </w:r>
    </w:p>
    <w:p>
      <w:pPr>
        <w:jc w:val="both"/>
        <w:spacing w:after="120"/>
      </w:pPr>
      <w:r>
        <w:rPr>
          <w:rFonts w:ascii="Times New Roman" w:hAnsi="Times New Roman" w:eastAsia="Times New Roman" w:cs="Times New Roman"/>
          <w:sz w:val="24"/>
          <w:szCs w:val="24"/>
        </w:rPr>
        <w:t xml:space="preserve">40) Dilek ve temenniler bölümünde paylaşılan uygulanabilir önerilerin zümre çalışmaları kapsamında değerlendirilmesine karar verildi.</w:t>
      </w:r>
    </w:p>
    <w:p>
      <w:pPr>
        <w:jc w:val="both"/>
        <w:spacing w:after="120"/>
      </w:pPr>
      <w:r>
        <w:rPr>
          <w:rFonts w:ascii="Times New Roman" w:hAnsi="Times New Roman" w:eastAsia="Times New Roman" w:cs="Times New Roman"/>
          <w:sz w:val="24"/>
          <w:szCs w:val="24"/>
        </w:rPr>
        <w:t xml:space="preserve">41) Gündem maddelerinin tamamlanmasının ardından toplantının kapatılmasına ve alınan kararların dönem içinde izlenmesine karar verildi.</w:t>
      </w:r>
    </w:p>
    <w:p/>
    <w:p>
      <w:pPr>
        <w:jc w:val="center"/>
        <w:spacing w:before="120" w:after="160"/>
      </w:pPr>
      <w:r>
        <w:rPr>
          <w:rFonts w:ascii="Times New Roman" w:hAnsi="Times New Roman" w:eastAsia="Times New Roman" w:cs="Times New Roman"/>
          <w:sz w:val="26"/>
          <w:szCs w:val="26"/>
          <w:b w:val="1"/>
          <w:bCs w:val="1"/>
        </w:rPr>
        <w:t xml:space="preserve">TOPLANTIYA KATILANLAR</w:t>
      </w:r>
    </w:p>
    <w:tbl>
      <w:tblGrid>
        <w:gridCol w:w="700" w:type="dxa"/>
        <w:gridCol w:w="4500" w:type="dxa"/>
        <w:gridCol w:w="3500" w:type="dxa"/>
        <w:gridCol w:w="2200" w:type="dxa"/>
      </w:tblGrid>
      <w:tblPr>
        <w:tblStyle w:val="ZumreTable"/>
      </w:tblPr>
      <w:tr>
        <w:trPr/>
        <w:tc>
          <w:tcPr>
            <w:tcW w:w="700" w:type="dxa"/>
            <w:noWrap/>
          </w:tcPr>
          <w:p>
            <w:pPr>
              <w:jc w:val="center"/>
            </w:pPr>
            <w:r>
              <w:rPr>
                <w:rFonts w:ascii="Times New Roman" w:hAnsi="Times New Roman" w:eastAsia="Times New Roman" w:cs="Times New Roman"/>
                <w:sz w:val="24"/>
                <w:szCs w:val="24"/>
                <w:b w:val="1"/>
                <w:bCs w:val="1"/>
              </w:rPr>
              <w:t xml:space="preserve">Sıra</w:t>
            </w:r>
          </w:p>
        </w:tc>
        <w:tc>
          <w:tcPr>
            <w:tcW w:w="4500" w:type="dxa"/>
            <w:noWrap/>
          </w:tcPr>
          <w:p>
            <w:pPr>
              <w:jc w:val="center"/>
            </w:pPr>
            <w:r>
              <w:rPr>
                <w:rFonts w:ascii="Times New Roman" w:hAnsi="Times New Roman" w:eastAsia="Times New Roman" w:cs="Times New Roman"/>
                <w:sz w:val="24"/>
                <w:szCs w:val="24"/>
                <w:b w:val="1"/>
                <w:bCs w:val="1"/>
              </w:rPr>
              <w:t xml:space="preserve">Adı Soyadı</w:t>
            </w:r>
          </w:p>
        </w:tc>
        <w:tc>
          <w:tcPr>
            <w:tcW w:w="3500" w:type="dxa"/>
            <w:noWrap/>
          </w:tcPr>
          <w:p>
            <w:pPr>
              <w:jc w:val="center"/>
            </w:pPr>
            <w:r>
              <w:rPr>
                <w:rFonts w:ascii="Times New Roman" w:hAnsi="Times New Roman" w:eastAsia="Times New Roman" w:cs="Times New Roman"/>
                <w:sz w:val="24"/>
                <w:szCs w:val="24"/>
                <w:b w:val="1"/>
                <w:bCs w:val="1"/>
              </w:rPr>
              <w:t xml:space="preserve">Görevi</w:t>
            </w:r>
          </w:p>
        </w:tc>
        <w:tc>
          <w:tcPr>
            <w:tcW w:w="2200" w:type="dxa"/>
            <w:noWrap/>
          </w:tcPr>
          <w:p>
            <w:pPr>
              <w:jc w:val="center"/>
            </w:pPr>
            <w:r>
              <w:rPr>
                <w:rFonts w:ascii="Times New Roman" w:hAnsi="Times New Roman" w:eastAsia="Times New Roman" w:cs="Times New Roman"/>
                <w:sz w:val="24"/>
                <w:szCs w:val="24"/>
                <w:b w:val="1"/>
                <w:bCs w:val="1"/>
              </w:rPr>
              <w:t xml:space="preserve">İmza</w:t>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1</w:t>
            </w:r>
          </w:p>
        </w:tc>
        <w:tc>
          <w:tcPr>
            <w:tcW w:w="4500" w:type="dxa"/>
            <w:noWrap/>
          </w:tcPr>
          <w:p>
            <w:pPr>
              <w:jc w:val="left"/>
            </w:pPr>
            <w:r>
              <w:rPr>
                <w:rFonts w:ascii="Times New Roman" w:hAnsi="Times New Roman" w:eastAsia="Times New Roman" w:cs="Times New Roman"/>
                <w:sz w:val="24"/>
                <w:szCs w:val="24"/>
                <w:b w:val="1"/>
                <w:bCs w:val="1"/>
              </w:rPr>
              <w:t xml:space="preserve">Öğretmen1</w:t>
            </w:r>
          </w:p>
        </w:tc>
        <w:tc>
          <w:tcPr>
            <w:tcW w:w="3500" w:type="dxa"/>
            <w:noWrap/>
          </w:tcPr>
          <w:p>
            <w:pPr>
              <w:jc w:val="left"/>
            </w:pPr>
            <w:r>
              <w:rPr>
                <w:rFonts w:ascii="Times New Roman" w:hAnsi="Times New Roman" w:eastAsia="Times New Roman" w:cs="Times New Roman"/>
                <w:sz w:val="24"/>
                <w:szCs w:val="24"/>
              </w:rPr>
              <w:t xml:space="preserve">Zümre Başkanı</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2</w:t>
            </w:r>
          </w:p>
        </w:tc>
        <w:tc>
          <w:tcPr>
            <w:tcW w:w="4500" w:type="dxa"/>
            <w:noWrap/>
          </w:tcPr>
          <w:p>
            <w:pPr>
              <w:jc w:val="left"/>
            </w:pPr>
            <w:r>
              <w:rPr>
                <w:rFonts w:ascii="Times New Roman" w:hAnsi="Times New Roman" w:eastAsia="Times New Roman" w:cs="Times New Roman"/>
                <w:sz w:val="24"/>
                <w:szCs w:val="24"/>
                <w:b w:val="1"/>
                <w:bCs w:val="1"/>
              </w:rPr>
              <w:t xml:space="preserve">Öğretmen2</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3</w:t>
            </w:r>
          </w:p>
        </w:tc>
        <w:tc>
          <w:tcPr>
            <w:tcW w:w="4500" w:type="dxa"/>
            <w:noWrap/>
          </w:tcPr>
          <w:p>
            <w:pPr>
              <w:jc w:val="left"/>
            </w:pPr>
            <w:r>
              <w:rPr>
                <w:rFonts w:ascii="Times New Roman" w:hAnsi="Times New Roman" w:eastAsia="Times New Roman" w:cs="Times New Roman"/>
                <w:sz w:val="24"/>
                <w:szCs w:val="24"/>
                <w:b w:val="1"/>
                <w:bCs w:val="1"/>
              </w:rPr>
              <w:t xml:space="preserve">Öğretmen3</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4</w:t>
            </w:r>
          </w:p>
        </w:tc>
        <w:tc>
          <w:tcPr>
            <w:tcW w:w="4500" w:type="dxa"/>
            <w:noWrap/>
          </w:tcPr>
          <w:p>
            <w:pPr>
              <w:jc w:val="left"/>
            </w:pPr>
            <w:r>
              <w:rPr>
                <w:rFonts w:ascii="Times New Roman" w:hAnsi="Times New Roman" w:eastAsia="Times New Roman" w:cs="Times New Roman"/>
                <w:sz w:val="24"/>
                <w:szCs w:val="24"/>
                <w:b w:val="1"/>
                <w:bCs w:val="1"/>
              </w:rPr>
              <w:t xml:space="preserve">Öğretmen4</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bl>
    <w:p/>
    <w:p/>
    <w:p/>
    <w:p/>
    <w:p/>
    <w:tbl>
      <w:tblGrid>
        <w:gridCol w:w="5500" w:type="dxa"/>
        <w:gridCol w:w="5500" w:type="dxa"/>
      </w:tblGrid>
      <w:tblPr>
        <w:tblStyle w:val="NoBorder"/>
      </w:tblPr>
      <w:tr>
        <w:trPr/>
        <w:tc>
          <w:tcPr>
            <w:tcW w:w="5500" w:type="dxa"/>
            <w:noWrap/>
          </w:tcPr>
          <w:p>
            <w:pPr>
              <w:jc w:val="center"/>
              <w:spacing w:after="0"/>
            </w:pPr>
            <w:r>
              <w:rPr>
                <w:rFonts w:ascii="Times New Roman" w:hAnsi="Times New Roman" w:eastAsia="Times New Roman" w:cs="Times New Roman"/>
                <w:sz w:val="24"/>
                <w:szCs w:val="24"/>
                <w:b w:val="1"/>
                <w:bCs w:val="1"/>
              </w:rPr>
              <w:t xml:space="preserve">Öğretmen1</w:t>
            </w:r>
          </w:p>
          <w:p>
            <w:pPr>
              <w:jc w:val="center"/>
              <w:spacing w:after="0"/>
            </w:pPr>
            <w:r>
              <w:rPr>
                <w:rFonts w:ascii="Times New Roman" w:hAnsi="Times New Roman" w:eastAsia="Times New Roman" w:cs="Times New Roman"/>
                <w:sz w:val="24"/>
                <w:szCs w:val="24"/>
              </w:rPr>
              <w:t xml:space="preserve">Zümre Başkanı</w:t>
            </w:r>
          </w:p>
        </w:tc>
        <w:tc>
          <w:tcPr>
            <w:tcW w:w="5500" w:type="dxa"/>
            <w:noWrap/>
          </w:tcPr>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Müdür Yardımcısı</w:t>
            </w:r>
          </w:p>
        </w:tc>
      </w:tr>
    </w:tbl>
    <w:p/>
    <w:p>
      <w:pPr>
        <w:jc w:val="center"/>
        <w:spacing w:after="80"/>
      </w:pPr>
      <w:r>
        <w:rPr>
          <w:rFonts w:ascii="Times New Roman" w:hAnsi="Times New Roman" w:eastAsia="Times New Roman" w:cs="Times New Roman"/>
          <w:sz w:val="24"/>
          <w:szCs w:val="24"/>
        </w:rPr>
        <w:t xml:space="preserve">Uygundur.</w:t>
      </w:r>
    </w:p>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Okul Müdürü</w:t>
      </w:r>
    </w:p>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ZumreTable">
    <w:name w:val="ZumreTable"/>
    <w:uiPriority w:val="99"/>
    <w:tblPr>
      <w:tblW w:w="0" w:type="auto"/>
      <w:tblLayout w:type="autofit"/>
      <w:tblCellMar>
        <w:top w:w="90" w:type="dxa"/>
        <w:left w:w="90" w:type="dxa"/>
        <w:right w:w="90" w:type="dxa"/>
        <w:bottom w:w="90" w:type="dxa"/>
      </w:tblCellMar>
      <w:tblBorders>
        <w:top w:val="single" w:sz="6" w:color="000000"/>
        <w:left w:val="single" w:sz="6" w:color="000000"/>
        <w:right w:val="single" w:sz="6" w:color="000000"/>
        <w:bottom w:val="single" w:sz="6" w:color="000000"/>
        <w:insideH w:val="single" w:sz="6" w:color="000000"/>
        <w:insideV w:val="single" w:sz="6" w:color="000000"/>
      </w:tblBorders>
    </w:tblPr>
    <w:tblStylePr w:type="firstRow">
      <w:tcPr/>
    </w:tblStylePr>
  </w:style>
  <w:style w:type="table" w:customStyle="1" w:styleId="NoBorder">
    <w:name w:val="NoBorder"/>
    <w:uiPriority w:val="99"/>
    <w:tblPr>
      <w:tblW w:w="0" w:type="auto"/>
      <w:tblLayout w:type="autofit"/>
      <w:tblCellMar>
        <w:top w:w="90" w:type="dxa"/>
        <w:left w:w="90" w:type="dxa"/>
        <w:right w:w="90" w:type="dxa"/>
        <w:bottom w:w="90" w:type="dxa"/>
      </w:tblCellMar>
      <w:tblBorders>
        <w:top w:val="single" w:sz="0"/>
        <w:left w:val="single" w:sz="0"/>
        <w:right w:val="single" w:sz="0"/>
        <w:bottom w:val="single" w:sz="0"/>
        <w:insideH w:val="single" w:sz="0"/>
        <w:insideV w:val="single" w:sz="0"/>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2026-08-26T10:22:00+03:00</dcterms:created>
  <dcterms:modified xsi:type="dcterms:W3CDTF">2026-08-26T10:22:00+03:00</dcterms:modified>
</cp:coreProperties>
</file>

<file path=docProps/custom.xml><?xml version="1.0" encoding="utf-8"?>
<Properties xmlns="http://schemas.openxmlformats.org/officeDocument/2006/custom-properties" xmlns:vt="http://schemas.openxmlformats.org/officeDocument/2006/docPropsVTypes"/>
</file>