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Matematik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14)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15)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16)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17)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18)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19)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20)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21)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22)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23)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24) Okulun Çevre İmkânlarının Analiz Edilmesi Ve Bu İmkânlara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25)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26)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27)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28)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29) Disiplinler Arası Çalışmaların Planlanması</w:t>
      </w:r>
    </w:p>
    <w:p>
      <w:pPr>
        <w:jc w:val="left"/>
        <w:spacing w:after="100"/>
      </w:pPr>
      <w:r>
        <w:rPr>
          <w:rFonts w:ascii="Times New Roman" w:hAnsi="Times New Roman" w:eastAsia="Times New Roman" w:cs="Times New Roman"/>
          <w:sz w:val="24"/>
          <w:szCs w:val="24"/>
        </w:rPr>
        <w:t xml:space="preserve">30)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31)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32)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33)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34) Okul Aile İş Birliği Ve Veli Toplantılarının Planlanması</w:t>
      </w:r>
    </w:p>
    <w:p>
      <w:pPr>
        <w:jc w:val="left"/>
        <w:spacing w:after="100"/>
      </w:pPr>
      <w:r>
        <w:rPr>
          <w:rFonts w:ascii="Times New Roman" w:hAnsi="Times New Roman" w:eastAsia="Times New Roman" w:cs="Times New Roman"/>
          <w:sz w:val="24"/>
          <w:szCs w:val="24"/>
        </w:rPr>
        <w:t xml:space="preserve">35) Önleme, Müdahale Ve Yönlendirme Çalışmalarının Planlanması</w:t>
      </w:r>
    </w:p>
    <w:p>
      <w:pPr>
        <w:jc w:val="left"/>
        <w:spacing w:after="100"/>
      </w:pPr>
      <w:r>
        <w:rPr>
          <w:rFonts w:ascii="Times New Roman" w:hAnsi="Times New Roman" w:eastAsia="Times New Roman" w:cs="Times New Roman"/>
          <w:sz w:val="24"/>
          <w:szCs w:val="24"/>
        </w:rPr>
        <w:t xml:space="preserve">36)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37) İş Sağlığı Ve Güvenliği Tedbirlerinin Değerlendirilmesi</w:t>
      </w:r>
    </w:p>
    <w:p>
      <w:pPr>
        <w:jc w:val="left"/>
        <w:spacing w:after="100"/>
      </w:pPr>
      <w:r>
        <w:rPr>
          <w:rFonts w:ascii="Times New Roman" w:hAnsi="Times New Roman" w:eastAsia="Times New Roman" w:cs="Times New Roman"/>
          <w:sz w:val="24"/>
          <w:szCs w:val="24"/>
        </w:rPr>
        <w:t xml:space="preserve">38) Dilek Ve Temenniler</w:t>
      </w:r>
    </w:p>
    <w:p>
      <w:pPr>
        <w:jc w:val="left"/>
        <w:spacing w:after="100"/>
      </w:pPr>
      <w:r>
        <w:rPr>
          <w:rFonts w:ascii="Times New Roman" w:hAnsi="Times New Roman" w:eastAsia="Times New Roman" w:cs="Times New Roman"/>
          <w:sz w:val="24"/>
          <w:szCs w:val="24"/>
        </w:rPr>
        <w:t xml:space="preserve">39)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Matematik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Matematik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sırasına bağlı kalınmasının toplantı verimini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sonuçlarının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Matematik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planlamalarda okulun amaçları, öğretim programı, sınıf düzeyi ve Türkiye Yüzyılı Maarif Modeli doğrultusunda uyulacak esaslar netleştirildi. Yıllık planların okulun imkânları, sınıf düzeyleri ve öğretim programındaki öğrenme çıktılarıyla uyumlu hazırlanması gerektiği belirtildi. Türkiye Yüzyılı Maarif Modeli kapsamındaki beceri ve değer boyutlarının ders sürecine dengeli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Matematik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Matematik öğretim programındaki tema, konu, kazanım ve öğrenme çıktıları ile yıllık planlar, ders planları ve çalışma takvimi birlikte değerlendirildi. Okulun ve çevrenin özellikleri ile öğrencilerin hazırbulunuşluk düzeylerinin planlamalarda dikkate alınması gerektiği belirtildi. Ders planlarının öğretim programı ve çalışma takvimiyle uyumlu biçimde düzenlenmesi, ihtiyaç hâlinde öğrenci düzeyine göre gerekli uyarlamaların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çevre şartları ve sınıf düzeyi dikkate alınarak yürütülmesi gerektiğini ifade etti.</w:t>
      </w:r>
    </w:p>
    <w:p/>
    <w:p>
      <w:pPr>
        <w:jc w:val="left"/>
        <w:spacing w:after="80"/>
      </w:pPr>
      <w:r>
        <w:rPr>
          <w:rFonts w:ascii="Times New Roman" w:hAnsi="Times New Roman" w:eastAsia="Times New Roman" w:cs="Times New Roman"/>
          <w:sz w:val="24"/>
          <w:szCs w:val="24"/>
          <w:b w:val="1"/>
          <w:bCs w:val="1"/>
        </w:rPr>
        <w:t xml:space="preserve">10)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Matematik dersine yansıtılması değerlendirildi. Millî, manevi ve ahlaki değerlerin problem durumları, günlük yaşam örnekleri, veri yorumlama, iş birliği ve sorumluluk gerektiren etkinliklerle ilişkilendirilebileceği belirtildi. Değerlerin yalnızca bilgi düzeyinde değil, öğrencilerin davranış ve öğrenme süreçlerine yansıyacak biçimde ele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 çalışmalarının Matematik dersinin doğal akışı içinde anlamlı ve öğrenci düzeyine uygun biçimde yürütülmesi gerektiğini ifade etti.</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Matematik dersinde kullanılacak öğretim yöntem ve teknikleri ile okul temelli planlama kapsamında yapılabilecek çalışmalar değerlendirildi. Problem çözme, keşfetme, matematiksel modelleme, akıl yürütme, tartışma, iş birlikli öğrenme, oyunlaştırma ve uygun teknoloji destekli uygulamalara öğrencilerin aktif katılımını sağlayacak biçimde yer verilmesi gerektiği belirtildi. Okulun öğrenci profili, fiziki imkânları ve çevre özelliklerinin okul temelli planlama çalışmalarında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ve teknik seçiminde öğrencilerin matematiksel düşünme ve problem çözme becerilerini geliştiren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Matematik dersinde öğrencilerin gelişimini izlemek amacıyla yazılı çalışmalar, kısa cevaplı ve açık uçlu sorular, problem çözme görevleri, gözlem, kontrol listeleri, dereceli puanlama anahtarları, öğrenci ürünleri ve uygun diğer araçlardan yararlanılabileceği belirtildi. Ölçme değerlendirme sonuçlarının yalnızca puan vermek için değil, kavram yanılgılarını ve eksik öğrenmeleri belirlemek ve öğretim sürecini düzenlemek amacıyla da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değerlendirme araçlarının öğrenme çıktılarıyla uyumlu, açık ve öğrenci gelişimini izlemeye elverişli olması gerektiğini ifade etti.</w:t>
      </w:r>
    </w:p>
    <w:p/>
    <w:p>
      <w:pPr>
        <w:jc w:val="left"/>
        <w:spacing w:after="80"/>
      </w:pPr>
      <w:r>
        <w:rPr>
          <w:rFonts w:ascii="Times New Roman" w:hAnsi="Times New Roman" w:eastAsia="Times New Roman" w:cs="Times New Roman"/>
          <w:sz w:val="24"/>
          <w:szCs w:val="24"/>
          <w:b w:val="1"/>
          <w:bCs w:val="1"/>
        </w:rPr>
        <w:t xml:space="preserve">13)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Matematik dersi öğretim programı dikkate alınarak değerlendirildi. Sınavlarda işlem becerisinin yanında problem çözme, akıl yürütme, matematiksel temsil, yorumlama ve farklı çözüm yolları geliştirme becerilerini ölçen soru yapılarına yer verilmesi gerektiği belirtildi. Sınav sürelerinin soru sayısı ve soru türleriyle dengeli olması, değerlendirme ölçütlerinin açık biçimde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uygulamalarında kapsam geçerliği, ölçme amacı ve sınıf düzeyinin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14)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Ortak sınav sonuçlarının zümre tarafından incelenerek öğrenci ve kazanım düzeyinde ihtiyaçların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ve mazeret sınavlarında uygulama birliği ile değerlendirme ölçütlerinin tutarlı biçimde kullanılmasının önemini ifade etti.</w:t>
      </w:r>
    </w:p>
    <w:p/>
    <w:p>
      <w:pPr>
        <w:jc w:val="left"/>
        <w:spacing w:after="80"/>
      </w:pPr>
      <w:r>
        <w:rPr>
          <w:rFonts w:ascii="Times New Roman" w:hAnsi="Times New Roman" w:eastAsia="Times New Roman" w:cs="Times New Roman"/>
          <w:sz w:val="24"/>
          <w:szCs w:val="24"/>
          <w:b w:val="1"/>
          <w:bCs w:val="1"/>
        </w:rPr>
        <w:t xml:space="preserve">15)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ve kazanım düzeyinde incelenmesi gerektiği belirtildi. Kavram yanılgıları ve eksik öğrenmeler için tekrar, ek problem çalışmaları, farklı temsil biçimleri, bireysel destek ve izleme çalışmalarının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öğretim sürecini iyileştirmek ve öğrencilerin zorlandıkları matematiksel alanları belirlemek amacıyla kullanılması gerektiğini ifade etti.</w:t>
      </w:r>
    </w:p>
    <w:p/>
    <w:p>
      <w:pPr>
        <w:jc w:val="left"/>
        <w:spacing w:after="80"/>
      </w:pPr>
      <w:r>
        <w:rPr>
          <w:rFonts w:ascii="Times New Roman" w:hAnsi="Times New Roman" w:eastAsia="Times New Roman" w:cs="Times New Roman"/>
          <w:sz w:val="24"/>
          <w:szCs w:val="24"/>
          <w:b w:val="1"/>
          <w:bCs w:val="1"/>
        </w:rPr>
        <w:t xml:space="preserve">16)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açık uçlu problemlerde yalnızca sonucun değil, çözüm yolu, matematiksel gerekçelendirme ve işlem basamaklarının da uygun ölçütlerle değerlendirilebileceği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w:t>
      </w:r>
    </w:p>
    <w:p/>
    <w:p>
      <w:pPr>
        <w:jc w:val="left"/>
        <w:spacing w:after="80"/>
      </w:pPr>
      <w:r>
        <w:rPr>
          <w:rFonts w:ascii="Times New Roman" w:hAnsi="Times New Roman" w:eastAsia="Times New Roman" w:cs="Times New Roman"/>
          <w:sz w:val="24"/>
          <w:szCs w:val="24"/>
          <w:b w:val="1"/>
          <w:bCs w:val="1"/>
        </w:rPr>
        <w:t xml:space="preserve">17)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Matematik dersi açısından nasıl değerlendirileceği görüşüldü. Sonuçların öğrencilerin problem çözme, akıl yürütme, matematiksel okuryazarlık, veri yorumlama ve işlem becerilerindeki güçlü ve geliştirilmesi gereken yönleri belirlemek için veri olarak kullanılabileceği ifade edildi. Uygun sonuçların zümre içinde paylaşılması ve gerekli görülen alanlarda destekleyici çalışmalar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sonuçların tek başına başarı ölçütü olarak değil, öğretim sürecini geliştiren tamamlayıcı veriler olarak değerlendirilmesi gerektiğini belirtti.</w:t>
      </w:r>
    </w:p>
    <w:p/>
    <w:p>
      <w:pPr>
        <w:jc w:val="left"/>
        <w:spacing w:after="80"/>
      </w:pPr>
      <w:r>
        <w:rPr>
          <w:rFonts w:ascii="Times New Roman" w:hAnsi="Times New Roman" w:eastAsia="Times New Roman" w:cs="Times New Roman"/>
          <w:sz w:val="24"/>
          <w:szCs w:val="24"/>
          <w:b w:val="1"/>
          <w:bCs w:val="1"/>
        </w:rPr>
        <w:t xml:space="preserve">18)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sınava hazırlık, izleme ve destekleme çalışmaları Matematik dersi açısından değerlendirildi. Öğrencilerin problem çözme, akıl yürütme, ilişkilendirme, grafik ve tablo yorumlama, çok adımlı sorular üzerinde düşünme ve zamanı etkili kullanma becerilerini geliştirecek düzenli çalışmalar yapılması gerektiği belirtildi. Kazanım eksiklerinin erken belirlenmesi, soru çözüm süreçlerinin analiz edilmesi ve destekleyici çalışmaların planlı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sınava hazırlığın öğretim programından kopmadan ve matematiksel düşünme becerisini merkeze alarak yürütülmesi gerektiğini ifade etti.</w:t>
      </w:r>
    </w:p>
    <w:p/>
    <w:p>
      <w:pPr>
        <w:jc w:val="left"/>
        <w:spacing w:after="80"/>
      </w:pPr>
      <w:r>
        <w:rPr>
          <w:rFonts w:ascii="Times New Roman" w:hAnsi="Times New Roman" w:eastAsia="Times New Roman" w:cs="Times New Roman"/>
          <w:sz w:val="24"/>
          <w:szCs w:val="24"/>
          <w:b w:val="1"/>
          <w:bCs w:val="1"/>
        </w:rPr>
        <w:t xml:space="preserve">19)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öğrenme çıktılarındaki eksikleri ile izleme sonuçları birlikte ele alındı. Başarının yalnızca sınav puanlarıyla değil; ders içi katılım, problem çözme süreci, matematiksel akıl yürütme, görev sorumluluğu ve süreç içindeki gelişimle birlikte değerlendirilmesi gerektiği belirtildi. Destek ihtiyacı belirlenen öğrenciler için uygulanabilir eylem planları hazırlanması, sonuçların dönem içinde izlenmesi ve gerektiğinde aileyle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gelişiminin düzenli veriler üzerinden takip edilmesi ve destekleyici çalışmaların sonuçlarının yeniden değerlendirilmesi gerektiğini ifade etti.</w:t>
      </w:r>
    </w:p>
    <w:p/>
    <w:p>
      <w:pPr>
        <w:jc w:val="left"/>
        <w:spacing w:after="80"/>
      </w:pPr>
      <w:r>
        <w:rPr>
          <w:rFonts w:ascii="Times New Roman" w:hAnsi="Times New Roman" w:eastAsia="Times New Roman" w:cs="Times New Roman"/>
          <w:sz w:val="24"/>
          <w:szCs w:val="24"/>
          <w:b w:val="1"/>
          <w:bCs w:val="1"/>
        </w:rPr>
        <w:t xml:space="preserve">20)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Çalışmalarda öğrencilerin problem belirleme, veri toplama ve kullanma, matematiksel model oluşturma, çözüm üretme, gerekçelendirme, sunma ve zamanı kullanma becerilerinin süreç boyunca izlenmesi gerektiği belirtildi. Ürün kadar çalışma sürecinin de değerlendirilmesi, gerekli durumlarda dereceli puanlama anahtarı ve kontrol listelerinden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çalışmanın niteliğine uygun ve öğrenci tarafından anlaşılabilir olması gerektiğini ifade etti.</w:t>
      </w:r>
    </w:p>
    <w:p/>
    <w:p>
      <w:pPr>
        <w:jc w:val="left"/>
        <w:spacing w:after="80"/>
      </w:pPr>
      <w:r>
        <w:rPr>
          <w:rFonts w:ascii="Times New Roman" w:hAnsi="Times New Roman" w:eastAsia="Times New Roman" w:cs="Times New Roman"/>
          <w:sz w:val="24"/>
          <w:szCs w:val="24"/>
          <w:b w:val="1"/>
          <w:bCs w:val="1"/>
        </w:rPr>
        <w:t xml:space="preserve">21)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Matematik öğretim programı ile okulun ve çevrenin şartları dikkate alınarak proje, performans ve etkinlik çalışmalarının nasıl planlanacağı görüşüldü. Çalışmaların öğrencilerin yaş düzeyine, öğrenme çıktısına, ilgi ve ihtiyaçlarına uygun; günlük yaşam problemleri, veri toplama, ölçme, tasarım ve modelleme gibi matematiksel süreçlerle ilişkilendirilebilir nitelikte olması gerektiği belirtildi. Okul ve çevre imkânlarından yararlanılması, ihtiyaç duyulması hâlinde farklı kurum ve kişilerle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etkinliklerin öğretim programıyla doğrudan bağlantılı ve öğrencinin aktif matematiksel üretimini destekleyen nitelikte seçilmesi gerektiğini ifade etti.</w:t>
      </w:r>
    </w:p>
    <w:p/>
    <w:p>
      <w:pPr>
        <w:jc w:val="left"/>
        <w:spacing w:after="80"/>
      </w:pPr>
      <w:r>
        <w:rPr>
          <w:rFonts w:ascii="Times New Roman" w:hAnsi="Times New Roman" w:eastAsia="Times New Roman" w:cs="Times New Roman"/>
          <w:sz w:val="24"/>
          <w:szCs w:val="24"/>
          <w:b w:val="1"/>
          <w:bCs w:val="1"/>
        </w:rPr>
        <w:t xml:space="preserve">22)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Matematik dersinde kullanılacak ders kitapları, ders araç gereçleri, öğretim materyalleri, kaynaklar ve bilişim araçları değerlendirildi. Kullanılacak somut materyaller, geometrik araçlar, ölçme araçları, modeller, basılı kaynaklar ve dijital uygulamaların öğretim programına, öğrenme çıktısına, öğrenci düzeyine ve güvenli kullanım ilkelerine uygun olması gerektiği belirtildi. Materyallerin kavramları somutlaştıracak, farklı temsil biçimlerini destekleyecek ve öğrencinin aktif katılımını artıracak biçimde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ve materyal seçiminde matematiksel amaca uygunluk, erişilebilirlik ve güvenli kullanımın dikkate alınması gerektiğini ifade etti.</w:t>
      </w:r>
    </w:p>
    <w:p/>
    <w:p>
      <w:pPr>
        <w:jc w:val="left"/>
        <w:spacing w:after="80"/>
      </w:pPr>
      <w:r>
        <w:rPr>
          <w:rFonts w:ascii="Times New Roman" w:hAnsi="Times New Roman" w:eastAsia="Times New Roman" w:cs="Times New Roman"/>
          <w:sz w:val="24"/>
          <w:szCs w:val="24"/>
          <w:b w:val="1"/>
          <w:bCs w:val="1"/>
        </w:rPr>
        <w:t xml:space="preserve">23)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Matematik dersi ve ortak çalışmalar açısından kullanımı değerlendirildi. Eğitim ortamlarının yapılacak etkinliğin amacına, öğrenci güvenliğine ve erişilebilirlik koşullarına uygun biçimde planlanması gerektiği belirtildi. Ölçme, veri toplama, geometrik inceleme, proje ve disiplinler arası çalışmalar için uygun okul alanlarından yararlanılabileceği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fiziki imkânlarının planlı, güvenli ve öğrenmeyi destekleyici biçimde kullanılmasının önemini ifade etti.</w:t>
      </w:r>
    </w:p>
    <w:p/>
    <w:p>
      <w:pPr>
        <w:jc w:val="left"/>
        <w:spacing w:after="80"/>
      </w:pPr>
      <w:r>
        <w:rPr>
          <w:rFonts w:ascii="Times New Roman" w:hAnsi="Times New Roman" w:eastAsia="Times New Roman" w:cs="Times New Roman"/>
          <w:sz w:val="24"/>
          <w:szCs w:val="24"/>
          <w:b w:val="1"/>
          <w:bCs w:val="1"/>
        </w:rPr>
        <w:t xml:space="preserve">24) Okulun Çevre İmkânlarının Analiz Edilmesi Ve Bu İmkânlara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Matematik dersi açısından analiz edildi. Çevredeki yapılar, kurumlar, ulaşım, alışveriş alanları, doğal alanlar ve benzeri olanaklardan ölçme, oran-orantı, veri toplama, grafik oluşturma, geometri, bütçe ve problem çözme çalışmalarında yararlanılabileceği değerlendirildi. Gezi, gözlem, araştırma, anket, proje ve okul dışı öğrenme çalışmalarının öğrenme çıktılarıyla ilişkilendirilmesi; izin, güvenlik, ulaşım ve gerekli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matematiği gerçek yaşam bağlamlarıyla ilişkilendirecek biçimde değerlendirilmesi gerektiğini belirtti.</w:t>
      </w:r>
    </w:p>
    <w:p/>
    <w:p>
      <w:pPr>
        <w:jc w:val="left"/>
        <w:spacing w:after="80"/>
      </w:pPr>
      <w:r>
        <w:rPr>
          <w:rFonts w:ascii="Times New Roman" w:hAnsi="Times New Roman" w:eastAsia="Times New Roman" w:cs="Times New Roman"/>
          <w:sz w:val="24"/>
          <w:szCs w:val="24"/>
          <w:b w:val="1"/>
          <w:bCs w:val="1"/>
        </w:rPr>
        <w:t xml:space="preserve">25)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hazırbulunuşluk, ilgi, ihtiyaç ve öğrenme özelliklerine göre içerik, süreç, problem güçlüğü, temsil biçimi, materyal, görev ve değerlendirme araçlarında gerekli uyarlamaların yapılabileceği belirtildi. Bu düzenlemelerin ders planlarına yansıtılması, özel eğitim ve rehberlik birimleriyle gerektiğinde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öğrenci gelişimini destekleyeceğini ifade etti.</w:t>
      </w:r>
    </w:p>
    <w:p/>
    <w:p>
      <w:pPr>
        <w:jc w:val="left"/>
        <w:spacing w:after="80"/>
      </w:pPr>
      <w:r>
        <w:rPr>
          <w:rFonts w:ascii="Times New Roman" w:hAnsi="Times New Roman" w:eastAsia="Times New Roman" w:cs="Times New Roman"/>
          <w:sz w:val="24"/>
          <w:szCs w:val="24"/>
          <w:b w:val="1"/>
          <w:bCs w:val="1"/>
        </w:rPr>
        <w:t xml:space="preserve">26)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27)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Matematik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28)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ve üretim becerilerini geliştiren etkinliklere yer verilmesi gerektiğini ifade etti.</w:t>
      </w:r>
    </w:p>
    <w:p/>
    <w:p>
      <w:pPr>
        <w:jc w:val="left"/>
        <w:spacing w:after="80"/>
      </w:pPr>
      <w:r>
        <w:rPr>
          <w:rFonts w:ascii="Times New Roman" w:hAnsi="Times New Roman" w:eastAsia="Times New Roman" w:cs="Times New Roman"/>
          <w:sz w:val="24"/>
          <w:szCs w:val="24"/>
          <w:b w:val="1"/>
          <w:bCs w:val="1"/>
        </w:rPr>
        <w:t xml:space="preserve">29) Disiplinler Arası Çalışmaların Planlanması</w:t>
      </w:r>
    </w:p>
    <w:p>
      <w:pPr>
        <w:jc w:val="both"/>
        <w:spacing w:after="120"/>
      </w:pPr>
      <w:r>
        <w:rPr>
          <w:rFonts w:ascii="Times New Roman" w:hAnsi="Times New Roman" w:eastAsia="Times New Roman" w:cs="Times New Roman"/>
          <w:sz w:val="24"/>
          <w:szCs w:val="24"/>
        </w:rPr>
        <w:t xml:space="preserve">Matematik dersinin diğer derslerle ilişkilendirilebileceği kazanım ve etkinlik alanları belirlenerek ortak çalışma imkânları üzerinde duruldu. Matematik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derslerle kurulacak bağlantıların öğrenmenin kalıcılığını artıracağını belirtti.</w:t>
      </w:r>
    </w:p>
    <w:p/>
    <w:p>
      <w:pPr>
        <w:jc w:val="left"/>
        <w:spacing w:after="80"/>
      </w:pPr>
      <w:r>
        <w:rPr>
          <w:rFonts w:ascii="Times New Roman" w:hAnsi="Times New Roman" w:eastAsia="Times New Roman" w:cs="Times New Roman"/>
          <w:sz w:val="24"/>
          <w:szCs w:val="24"/>
          <w:b w:val="1"/>
          <w:bCs w:val="1"/>
        </w:rPr>
        <w:t xml:space="preserve">30)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Matematik dersiyle nasıl destekleneceği değerlendirildi. Matematiksel okuryazarlık, veri okuryazarlığı, problem çözme, akıl yürütme, tahmin, çıkarım yapma, eleştirel düşünme ve karar verme becerilerinin gerçek yaşam problemleri ve farklı matematiksel temsillerle geliştirilebileceği belirtildi. Öz farkındalık, iletişim, iş birliği, sorumluluk alma ve problem karşısında kararlılık gibi sosyal-duygusal öğrenme becerilerinin de sınıf içi etkileşimlerle desteklenmesi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dersin doğal akışına düzenli ve ölçülebilir biçimde yerleştirilmesi gerektiğini ifade etti.</w:t>
      </w:r>
    </w:p>
    <w:p/>
    <w:p>
      <w:pPr>
        <w:jc w:val="left"/>
        <w:spacing w:after="80"/>
      </w:pPr>
      <w:r>
        <w:rPr>
          <w:rFonts w:ascii="Times New Roman" w:hAnsi="Times New Roman" w:eastAsia="Times New Roman" w:cs="Times New Roman"/>
          <w:sz w:val="24"/>
          <w:szCs w:val="24"/>
          <w:b w:val="1"/>
          <w:bCs w:val="1"/>
        </w:rPr>
        <w:t xml:space="preserve">31)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Matematik dersindeki problem çözme, grup çalışması, oyun, modelleme, tartışma ve günlük yaşam uygulamalarının öğrencilerin düşünme, iletişim, öz güven, sabır, sorumluluk ve iş birliği becerilerine katkı sağlayabileceği belirtildi. Öğrencilerin gelişim özelliklerinin ders planlama ve sınıf içi uygulamalarda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32)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Matematik dersiyle ilişkilendirilebilecek matematik oyunları, zekâ oyunları, matematik atölyeleri, sergi, proje, veri toplama ve sosyal sorumluluk çalışmaları gibi etkinliklerin öğrencilerin problem çözme, üretme ve iş birliği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 dışı etkinliklerin öğrencilerin ilgi, yetenek ve sorumluluk bilincini geliştirecek biçimde seçilmesi gerektiğini ifade etti.</w:t>
      </w:r>
    </w:p>
    <w:p/>
    <w:p>
      <w:pPr>
        <w:jc w:val="left"/>
        <w:spacing w:after="80"/>
      </w:pPr>
      <w:r>
        <w:rPr>
          <w:rFonts w:ascii="Times New Roman" w:hAnsi="Times New Roman" w:eastAsia="Times New Roman" w:cs="Times New Roman"/>
          <w:sz w:val="24"/>
          <w:szCs w:val="24"/>
          <w:b w:val="1"/>
          <w:bCs w:val="1"/>
        </w:rPr>
        <w:t xml:space="preserve">33)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Matematik alanıyla ilişkilendirilebilecek yarışma, proje ve etkinliklere katılım imkânları değerlendirildi. Katılım sağlanacak çalışmaların öğrencilerin problem çözme, akıl yürütme, araştırma, üretme, modelleme ve kendini ifade etme becerilerini desteklemesi gerektiği belirtildi. Öğrencilerin ilgi, yetenek, yaş düzeyi ve gönüllülüğünün dikkate alınması; uygun çalışmaların okul yönetimi ve ailelerle iş birliği içinde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ve proje çalışmalarında yalnızca sonuç değil, öğrencinin gelişimi ve katılım sürecinin de önemsenmesi gerektiğini ifade etti.</w:t>
      </w:r>
    </w:p>
    <w:p/>
    <w:p>
      <w:pPr>
        <w:jc w:val="left"/>
        <w:spacing w:after="80"/>
      </w:pPr>
      <w:r>
        <w:rPr>
          <w:rFonts w:ascii="Times New Roman" w:hAnsi="Times New Roman" w:eastAsia="Times New Roman" w:cs="Times New Roman"/>
          <w:sz w:val="24"/>
          <w:szCs w:val="24"/>
          <w:b w:val="1"/>
          <w:bCs w:val="1"/>
        </w:rPr>
        <w:t xml:space="preserve">34)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Matematik dersine ilişkin ele alınacak konular değerlendirildi. Öğrencilerin matematik çalışma alışkanlıkları, problem çözme yaklaşımı, kavram yanılgıları, görev sorumluluğu, başarı ve gelişim düzeyi ile destek ihtiyacı gibi konularda ailelerle düzenli ve yapıcı iletişim kurulmasının yararlı olacağı belirtildi. Ailelere öğrencilerin bireysel özelliklerine uygun, aşırı baskı oluşturmayan ve günlük yaşamda matematik kullanımını destekleyen uygulanabilir öneriler sunulması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ve aile arasında kurulan düzenli iş birliğinin öğrencinin akademik ve sosyal gelişimini desteklediğini ifade etti.</w:t>
      </w:r>
    </w:p>
    <w:p/>
    <w:p>
      <w:pPr>
        <w:jc w:val="left"/>
        <w:spacing w:after="80"/>
      </w:pPr>
      <w:r>
        <w:rPr>
          <w:rFonts w:ascii="Times New Roman" w:hAnsi="Times New Roman" w:eastAsia="Times New Roman" w:cs="Times New Roman"/>
          <w:sz w:val="24"/>
          <w:szCs w:val="24"/>
          <w:b w:val="1"/>
          <w:bCs w:val="1"/>
        </w:rPr>
        <w:t xml:space="preserve">35)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ve öğretmenler arasında düzenli bilgi paylaşımı yapılması gerektiği belirtildi. Önleme, müdahale ve yönlendirme çalışmalarında rehberlik servisi, okul yönetimi ve öğretmenler arasında düzenli bilgi paylaşımı yapılması gerektiği belirtildi. Risk görülen durumlarda erken fark etme ve uygun yönlendirme süreçlerinin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riskli durumlarda erken fark etme ve doğru yönlendirme sürecinin önem taşıdığını belirtti.</w:t>
      </w:r>
    </w:p>
    <w:p/>
    <w:p>
      <w:pPr>
        <w:jc w:val="left"/>
        <w:spacing w:after="80"/>
      </w:pPr>
      <w:r>
        <w:rPr>
          <w:rFonts w:ascii="Times New Roman" w:hAnsi="Times New Roman" w:eastAsia="Times New Roman" w:cs="Times New Roman"/>
          <w:sz w:val="24"/>
          <w:szCs w:val="24"/>
          <w:b w:val="1"/>
          <w:bCs w:val="1"/>
        </w:rPr>
        <w:t xml:space="preserve">36)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materyal, mali kaynak, ulaşım, fiziki ortam, izin ve diğer ihtiyaçlar değerlendirildi. Faaliyetlerin uygulanabilir biçimde planlanabilmesi için ihtiyaçların önceden belirlenmesi, okulun mevcut imkânlarından öncelikle yararlanılması ve kaynakların verimli kullanılması gerektiği belirtildi. Gerekli durumlarda okul yönetimi, aileler ve ilgili kurumlarla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37)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laboratuvar, atölye, salon ve okul dışı etkinliklerde alınması gereken tedbirler değerlendirildi. Matematik dersinde kullanılacak geometrik araçlar, ölçme araçları, teknolojik cihazlar ve diğer materyallerin güvenli kullanılması; öğrencilerin etkinlik öncesinde gerekli kurallar hakkında bilgilendirilmesi gerektiği belirtildi. Okul dışı faaliyetlerde ulaşım, izin, gözetim ve acil durum tedbirlerinin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ve çalışan güvenliğini önceleyen uygulamaların tüm eğitim faaliyetlerinde kesintisiz sürdürülmesi gerektiğini ifade etti.</w:t>
      </w:r>
    </w:p>
    <w:p/>
    <w:p>
      <w:pPr>
        <w:jc w:val="left"/>
        <w:spacing w:after="80"/>
      </w:pPr>
      <w:r>
        <w:rPr>
          <w:rFonts w:ascii="Times New Roman" w:hAnsi="Times New Roman" w:eastAsia="Times New Roman" w:cs="Times New Roman"/>
          <w:sz w:val="24"/>
          <w:szCs w:val="24"/>
          <w:b w:val="1"/>
          <w:bCs w:val="1"/>
        </w:rPr>
        <w:t xml:space="preserve">38)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39)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Matematik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5, 6 ve 7. sınıflarda Türkiye Yüzyılı Maarif Modeli kapsamındaki öğrenme çıktıları ve Matematik dersi içeriklerinin sınıf düzeyine uygun biçimde uygulanmasına, öğretmenler arasında materyal ve uygulama paylaşımı yapılmasına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Atatürkçülük konuları ile Erdem-Değer-Eylem Çerçevesi kapsamındaki değerlerin ve millî, manevi, ahlaki değerlerin Matematik dersinin doğal akışıyla ilişkilendirilmesine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12) Öğrenme çıktılarının izlenmesinde yazılı çalışmalar, problem çözme görevleri, gözlem, kontrol listesi, dereceli puanlama anahtarı, öğrenci ürünü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13) Sınavların şekli, sayısı, süresi ve değerlendirme esaslarının ilgili mevzuat, sınıf düzeyi ve Matematik öğretim programına uygun biçimde belirlenmesine karar verildi.</w:t>
      </w:r>
    </w:p>
    <w:p>
      <w:pPr>
        <w:jc w:val="both"/>
        <w:spacing w:after="120"/>
      </w:pPr>
      <w:r>
        <w:rPr>
          <w:rFonts w:ascii="Times New Roman" w:hAnsi="Times New Roman" w:eastAsia="Times New Roman" w:cs="Times New Roman"/>
          <w:sz w:val="24"/>
          <w:szCs w:val="24"/>
        </w:rPr>
        <w:t xml:space="preserve">14)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15) Konu soru dağılım tablolarının sınav hazırlığında esas alınmasına, sınav analizlerinden hareketle kavram yanılgıları ve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16)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17)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18) LGS kapsamındaki Matematik çalışmalarının düzenli izleme, problem çözme, akıl yürütme ve kazanım eksiklerine yönelik destek uygulamalarıyla yürütülmesine karar verildi.</w:t>
      </w:r>
    </w:p>
    <w:p>
      <w:pPr>
        <w:jc w:val="both"/>
        <w:spacing w:after="120"/>
      </w:pPr>
      <w:r>
        <w:rPr>
          <w:rFonts w:ascii="Times New Roman" w:hAnsi="Times New Roman" w:eastAsia="Times New Roman" w:cs="Times New Roman"/>
          <w:sz w:val="24"/>
          <w:szCs w:val="24"/>
        </w:rPr>
        <w:t xml:space="preserve">19)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20) Performans görevi, proje ve öğrenci ürünlerinin problem çözme, modelleme, araştırma, üretme ve süreç içindeki gelişimi dikkate alan uygun ölçütlerle değerlendirilmesine karar verildi.</w:t>
      </w:r>
    </w:p>
    <w:p>
      <w:pPr>
        <w:jc w:val="both"/>
        <w:spacing w:after="120"/>
      </w:pPr>
      <w:r>
        <w:rPr>
          <w:rFonts w:ascii="Times New Roman" w:hAnsi="Times New Roman" w:eastAsia="Times New Roman" w:cs="Times New Roman"/>
          <w:sz w:val="24"/>
          <w:szCs w:val="24"/>
        </w:rPr>
        <w:t xml:space="preserve">21) Proje, performans ve etkinlik çalışmalarının Matematik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22)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23) Okulun fiziki mekânları ile laboratuvar, kütüphane, spor salonu,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24) Okulun çevre imkânlarının analiz edilmesine; uygun çevre olanaklarından ölçme, veri toplama, gezi, gözlem, araştırma, anket,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25)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26)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27) Matematik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28) Öğrencilerin girişimcilik, araştırma-geliştirme ve tasarım becerilerini destekleyen problem çözme, proje ve ürün geliştirme çalışmalarına yer verilmesine karar verildi.</w:t>
      </w:r>
    </w:p>
    <w:p>
      <w:pPr>
        <w:jc w:val="both"/>
        <w:spacing w:after="120"/>
      </w:pPr>
      <w:r>
        <w:rPr>
          <w:rFonts w:ascii="Times New Roman" w:hAnsi="Times New Roman" w:eastAsia="Times New Roman" w:cs="Times New Roman"/>
          <w:sz w:val="24"/>
          <w:szCs w:val="24"/>
        </w:rPr>
        <w:t xml:space="preserve">29) Matematik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30) Okuryazarlık becerileri, üst düzey düşünme ve sosyal-duygusal öğrenme becerilerinin Matematik dersindeki etkinliklerle düzenli biçimde desteklenmesine karar verildi.</w:t>
      </w:r>
    </w:p>
    <w:p>
      <w:pPr>
        <w:jc w:val="both"/>
        <w:spacing w:after="120"/>
      </w:pPr>
      <w:r>
        <w:rPr>
          <w:rFonts w:ascii="Times New Roman" w:hAnsi="Times New Roman" w:eastAsia="Times New Roman" w:cs="Times New Roman"/>
          <w:sz w:val="24"/>
          <w:szCs w:val="24"/>
        </w:rPr>
        <w:t xml:space="preserve">31)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32)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33) Öğrencilerin yaş, ilgi ve yeteneklerine uygun Matematik yarışması, proje ve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34) Okul aile iş birliğinin güçlendirilmesine, veli toplantılarında öğrencilerin Matematik dersi başarı, gelişim ve destek ihtiyaçlarına ilişkin düzenli ve yapıcı bilgilendirme yapılmasına karar verildi.</w:t>
      </w:r>
    </w:p>
    <w:p>
      <w:pPr>
        <w:jc w:val="both"/>
        <w:spacing w:after="120"/>
      </w:pPr>
      <w:r>
        <w:rPr>
          <w:rFonts w:ascii="Times New Roman" w:hAnsi="Times New Roman" w:eastAsia="Times New Roman" w:cs="Times New Roman"/>
          <w:sz w:val="24"/>
          <w:szCs w:val="24"/>
        </w:rPr>
        <w:t xml:space="preserve">35)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36) Okul içi ve okul dışı faaliyetler için gerekli araç, gereç, materyal, mali kaynak, ulaşım, izin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37) İş sağlığı ve güvenliği tedbirlerinin sınıf içi, okul içi ve okul dışı tüm eğitim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38)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39)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2026-08-07T11:40:19+03:00</dcterms:created>
  <dcterms:modified xsi:type="dcterms:W3CDTF">2026-08-07T11:40:19+03:00</dcterms:modified>
</cp:coreProperties>
</file>

<file path=docProps/custom.xml><?xml version="1.0" encoding="utf-8"?>
<Properties xmlns="http://schemas.openxmlformats.org/officeDocument/2006/custom-properties" xmlns:vt="http://schemas.openxmlformats.org/officeDocument/2006/docPropsVTypes"/>
</file>