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FİZİK DERSİ SENE BAŞI ZÜMRE TOPLANTI TUTANAĞI</w:t>
      </w:r>
    </w:p>
    <w:p>
      <w:pPr>
        <w:jc w:val="center"/>
        <w:spacing w:after="120"/>
      </w:pPr>
      <w:r>
        <w:rPr>
          <w:rFonts w:ascii="Times New Roman" w:hAnsi="Times New Roman" w:eastAsia="Times New Roman" w:cs="Times New Roman"/>
          <w:sz w:val="26"/>
          <w:szCs w:val="26"/>
          <w:b w:val="1"/>
          <w:bCs w:val="1"/>
        </w:rPr>
        <w:t xml:space="preserve">.......................................................MÜDÜRLÜĞÜNE</w:t>
      </w:r>
    </w:p>
    <w:p/>
    <w:p>
      <w:pPr>
        <w:jc w:val="both"/>
        <w:spacing w:after="120"/>
      </w:pPr>
      <w:r>
        <w:rPr>
          <w:rFonts w:ascii="Times New Roman" w:hAnsi="Times New Roman" w:eastAsia="Times New Roman" w:cs="Times New Roman"/>
          <w:sz w:val="24"/>
          <w:szCs w:val="24"/>
        </w:rPr>
        <w:t xml:space="preserve">2026-2027 Eğitim-Öğretim Yılı Fizik Dersi Sene Başı Zümre Toplantısı .... / .... / 20.... tarihinde saat ....'te aşağıdaki gündem maddelerini görüşmek üzere Öğretmenler Odasında Zümre Başkanı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başkanlığında yapılacaktır.</w:t>
      </w:r>
    </w:p>
    <w:p>
      <w:pPr>
        <w:jc w:val="both"/>
        <w:spacing w:after="120"/>
      </w:pPr>
      <w:r>
        <w:rPr>
          <w:rFonts w:ascii="Times New Roman" w:hAnsi="Times New Roman" w:eastAsia="Times New Roman" w:cs="Times New Roman"/>
          <w:sz w:val="24"/>
          <w:szCs w:val="24"/>
        </w:rPr>
        <w:t xml:space="preserve">Gereğini bilgilerinize arz ederim.</w:t>
      </w:r>
    </w:p>
    <w:p>
      <w:pPr>
        <w:jc w:val="right"/>
        <w:spacing w:before="180" w:after="0"/>
      </w:pPr>
      <w:r>
        <w:rPr>
          <w:rFonts w:ascii="Times New Roman" w:hAnsi="Times New Roman" w:eastAsia="Times New Roman" w:cs="Times New Roman"/>
          <w:sz w:val="24"/>
          <w:szCs w:val="24"/>
          <w:b w:val="1"/>
          <w:bCs w:val="1"/>
        </w:rPr>
        <w:t xml:space="preserve">Öğretmen1</w:t>
      </w:r>
    </w:p>
    <w:p>
      <w:pPr>
        <w:jc w:val="right"/>
        <w:spacing w:after="0"/>
      </w:pPr>
      <w:r>
        <w:rPr>
          <w:rFonts w:ascii="Times New Roman" w:hAnsi="Times New Roman" w:eastAsia="Times New Roman" w:cs="Times New Roman"/>
          <w:sz w:val="24"/>
          <w:szCs w:val="24"/>
        </w:rPr>
        <w:t xml:space="preserve">Zümre Başkanı</w:t>
      </w:r>
    </w:p>
    <w:p/>
    <w:p>
      <w:pPr>
        <w:jc w:val="center"/>
        <w:spacing w:before="120" w:after="160"/>
      </w:pPr>
      <w:r>
        <w:rPr>
          <w:rFonts w:ascii="Times New Roman" w:hAnsi="Times New Roman" w:eastAsia="Times New Roman" w:cs="Times New Roman"/>
          <w:sz w:val="26"/>
          <w:szCs w:val="26"/>
          <w:b w:val="1"/>
          <w:bCs w:val="1"/>
        </w:rPr>
        <w:t xml:space="preserve">GÜNDEM MADDELERİ</w:t>
      </w:r>
    </w:p>
    <w:p>
      <w:pPr>
        <w:jc w:val="left"/>
        <w:spacing w:after="100"/>
      </w:pPr>
      <w:r>
        <w:rPr>
          <w:rFonts w:ascii="Times New Roman" w:hAnsi="Times New Roman" w:eastAsia="Times New Roman" w:cs="Times New Roman"/>
          <w:sz w:val="24"/>
          <w:szCs w:val="24"/>
        </w:rPr>
        <w:t xml:space="preserve">1) Açılış Ve Yoklama</w:t>
      </w:r>
    </w:p>
    <w:p>
      <w:pPr>
        <w:jc w:val="left"/>
        <w:spacing w:after="100"/>
      </w:pPr>
      <w:r>
        <w:rPr>
          <w:rFonts w:ascii="Times New Roman" w:hAnsi="Times New Roman" w:eastAsia="Times New Roman" w:cs="Times New Roman"/>
          <w:sz w:val="24"/>
          <w:szCs w:val="24"/>
        </w:rPr>
        <w:t xml:space="preserve">2) Toplantı Gündeminin Okunması</w:t>
      </w:r>
    </w:p>
    <w:p>
      <w:pPr>
        <w:jc w:val="left"/>
        <w:spacing w:after="100"/>
      </w:pPr>
      <w:r>
        <w:rPr>
          <w:rFonts w:ascii="Times New Roman" w:hAnsi="Times New Roman" w:eastAsia="Times New Roman" w:cs="Times New Roman"/>
          <w:sz w:val="24"/>
          <w:szCs w:val="24"/>
        </w:rPr>
        <w:t xml:space="preserve">3) Önceki Toplantıda Alınan Kararların Değerlendirilmesi</w:t>
      </w:r>
    </w:p>
    <w:p>
      <w:pPr>
        <w:jc w:val="left"/>
        <w:spacing w:after="100"/>
      </w:pPr>
      <w:r>
        <w:rPr>
          <w:rFonts w:ascii="Times New Roman" w:hAnsi="Times New Roman" w:eastAsia="Times New Roman" w:cs="Times New Roman"/>
          <w:sz w:val="24"/>
          <w:szCs w:val="24"/>
        </w:rPr>
        <w:t xml:space="preserve">4) Zümre Yönergesi, Görev Dağılımı Ve Toplantı İşleyişinin Görüşülmesi</w:t>
      </w:r>
    </w:p>
    <w:p>
      <w:pPr>
        <w:jc w:val="left"/>
        <w:spacing w:after="100"/>
      </w:pPr>
      <w:r>
        <w:rPr>
          <w:rFonts w:ascii="Times New Roman" w:hAnsi="Times New Roman" w:eastAsia="Times New Roman" w:cs="Times New Roman"/>
          <w:sz w:val="24"/>
          <w:szCs w:val="24"/>
        </w:rPr>
        <w:t xml:space="preserve">5) Planlamaların Türkiye Yüzyılı Maarif Model Çerçeve Planı, Eğitim Ve Öğretim Mevzuatı, Okulun Kuruluş Amacı Ve Fizik Dersi Öğretim Programına Uygunluğunun Görüşülmesi</w:t>
      </w:r>
    </w:p>
    <w:p>
      <w:pPr>
        <w:jc w:val="left"/>
        <w:spacing w:after="100"/>
      </w:pPr>
      <w:r>
        <w:rPr>
          <w:rFonts w:ascii="Times New Roman" w:hAnsi="Times New Roman" w:eastAsia="Times New Roman" w:cs="Times New Roman"/>
          <w:sz w:val="24"/>
          <w:szCs w:val="24"/>
        </w:rPr>
        <w:t xml:space="preserve">6) Millî Eğitim Bakanlığının 19.08.2026 Tarihli Ve 2026/70 Sayılı “2026-2027 Eğitim Ve Öğretim Yılına İlişkin İş Ve İşlemler” Konulu Genelgesi'nin İncelenmesi</w:t>
      </w:r>
    </w:p>
    <w:p>
      <w:pPr>
        <w:jc w:val="left"/>
        <w:spacing w:after="100"/>
      </w:pPr>
      <w:r>
        <w:rPr>
          <w:rFonts w:ascii="Times New Roman" w:hAnsi="Times New Roman" w:eastAsia="Times New Roman" w:cs="Times New Roman"/>
          <w:sz w:val="24"/>
          <w:szCs w:val="24"/>
        </w:rPr>
        <w:t xml:space="preserve">7) 9, 10 Ve 11. Sınıflarda Uygulanacak Türkiye Yüzyılı Maarif Modeli’nin Fizik Dersi Özelinde Değerlendirilmesi</w:t>
      </w:r>
    </w:p>
    <w:p>
      <w:pPr>
        <w:jc w:val="left"/>
        <w:spacing w:after="100"/>
      </w:pPr>
      <w:r>
        <w:rPr>
          <w:rFonts w:ascii="Times New Roman" w:hAnsi="Times New Roman" w:eastAsia="Times New Roman" w:cs="Times New Roman"/>
          <w:sz w:val="24"/>
          <w:szCs w:val="24"/>
        </w:rPr>
        <w:t xml:space="preserve">8) Öğretim Programı, Çevre Özellikleri, Yıllık Planlar, Ders Planları Ve Kazanım/öğrenme Çıktısı Ağırlıklarının Görüşülmesi</w:t>
      </w:r>
    </w:p>
    <w:p>
      <w:pPr>
        <w:jc w:val="left"/>
        <w:spacing w:after="100"/>
      </w:pPr>
      <w:r>
        <w:rPr>
          <w:rFonts w:ascii="Times New Roman" w:hAnsi="Times New Roman" w:eastAsia="Times New Roman" w:cs="Times New Roman"/>
          <w:sz w:val="24"/>
          <w:szCs w:val="24"/>
        </w:rPr>
        <w:t xml:space="preserve">9) Fizik Dersinde Deney, Modelleme, Ölçme, Veri Yorumlama Ve Problem Çözme Çalışmalarının Planlanması</w:t>
      </w:r>
    </w:p>
    <w:p>
      <w:pPr>
        <w:jc w:val="left"/>
        <w:spacing w:after="100"/>
      </w:pPr>
      <w:r>
        <w:rPr>
          <w:rFonts w:ascii="Times New Roman" w:hAnsi="Times New Roman" w:eastAsia="Times New Roman" w:cs="Times New Roman"/>
          <w:sz w:val="24"/>
          <w:szCs w:val="24"/>
        </w:rPr>
        <w:t xml:space="preserve">10) Atatürkçülük Konuları İle Millî, Manevi Ve Ahlaki Değerler Kapsamında Yapılacak Çalışmaların Planlanması</w:t>
      </w:r>
    </w:p>
    <w:p>
      <w:pPr>
        <w:jc w:val="left"/>
        <w:spacing w:after="100"/>
      </w:pPr>
      <w:r>
        <w:rPr>
          <w:rFonts w:ascii="Times New Roman" w:hAnsi="Times New Roman" w:eastAsia="Times New Roman" w:cs="Times New Roman"/>
          <w:sz w:val="24"/>
          <w:szCs w:val="24"/>
        </w:rPr>
        <w:t xml:space="preserve">11) Derslerin İşlenişinde Kullanılacak Yöntem, Teknik Ve Okul Temelli Uygulamaların Belirlenmesi</w:t>
      </w:r>
    </w:p>
    <w:p>
      <w:pPr>
        <w:jc w:val="left"/>
        <w:spacing w:after="100"/>
      </w:pPr>
      <w:r>
        <w:rPr>
          <w:rFonts w:ascii="Times New Roman" w:hAnsi="Times New Roman" w:eastAsia="Times New Roman" w:cs="Times New Roman"/>
          <w:sz w:val="24"/>
          <w:szCs w:val="24"/>
        </w:rPr>
        <w:t xml:space="preserve">12) Bep, Ders Planları, Farklılaştırılmış Uygulamalar, Zenginleştirme Ve Destekleme Çalışmalarının Görüşülmesi</w:t>
      </w:r>
    </w:p>
    <w:p>
      <w:pPr>
        <w:jc w:val="left"/>
        <w:spacing w:after="100"/>
      </w:pPr>
      <w:r>
        <w:rPr>
          <w:rFonts w:ascii="Times New Roman" w:hAnsi="Times New Roman" w:eastAsia="Times New Roman" w:cs="Times New Roman"/>
          <w:sz w:val="24"/>
          <w:szCs w:val="24"/>
        </w:rPr>
        <w:t xml:space="preserve">13) Ders Ziyareti, Geri Dönüt, Mesleki Paylaşım Ve Zümreler Arası İş Birliği Esaslarının Belirlenmesi</w:t>
      </w:r>
    </w:p>
    <w:p>
      <w:pPr>
        <w:jc w:val="left"/>
        <w:spacing w:after="100"/>
      </w:pPr>
      <w:r>
        <w:rPr>
          <w:rFonts w:ascii="Times New Roman" w:hAnsi="Times New Roman" w:eastAsia="Times New Roman" w:cs="Times New Roman"/>
          <w:sz w:val="24"/>
          <w:szCs w:val="24"/>
        </w:rPr>
        <w:t xml:space="preserve">14) Akademik, Bilimsel Ve Teknolojik Gelişmelerin Fizik Dersine Yansıtılmasının Görüşülmesi</w:t>
      </w:r>
    </w:p>
    <w:p>
      <w:pPr>
        <w:jc w:val="left"/>
        <w:spacing w:after="100"/>
      </w:pPr>
      <w:r>
        <w:rPr>
          <w:rFonts w:ascii="Times New Roman" w:hAnsi="Times New Roman" w:eastAsia="Times New Roman" w:cs="Times New Roman"/>
          <w:sz w:val="24"/>
          <w:szCs w:val="24"/>
        </w:rPr>
        <w:t xml:space="preserve">15) Ders Araç Gereçleri, Öğretim Materyalleri, Bilişim Araçları Ve Eğitim Ortamlarının Etkin Kullanımının Planlanması</w:t>
      </w:r>
    </w:p>
    <w:p>
      <w:pPr>
        <w:jc w:val="left"/>
        <w:spacing w:after="100"/>
      </w:pPr>
      <w:r>
        <w:rPr>
          <w:rFonts w:ascii="Times New Roman" w:hAnsi="Times New Roman" w:eastAsia="Times New Roman" w:cs="Times New Roman"/>
          <w:sz w:val="24"/>
          <w:szCs w:val="24"/>
        </w:rPr>
        <w:t xml:space="preserve">16) Okul Ve Çevre İmkânlarına Dayalı Deney, Proje, Anket, Araştırma, Gezi, Gözlem Ve Okul Dışı Öğrenme Çalışmalarının Planlanması</w:t>
      </w:r>
    </w:p>
    <w:p>
      <w:pPr>
        <w:jc w:val="left"/>
        <w:spacing w:after="100"/>
      </w:pPr>
      <w:r>
        <w:rPr>
          <w:rFonts w:ascii="Times New Roman" w:hAnsi="Times New Roman" w:eastAsia="Times New Roman" w:cs="Times New Roman"/>
          <w:sz w:val="24"/>
          <w:szCs w:val="24"/>
        </w:rPr>
        <w:t xml:space="preserve">17) Ortak Yazılı Ve Uygulamalı Sınavlar, Öğrenci Başarısı, Sınav Analizleri Ve Kazanım Eksiklerine Yönelik Eylem Planlarının Görüşülmesi</w:t>
      </w:r>
    </w:p>
    <w:p>
      <w:pPr>
        <w:jc w:val="left"/>
        <w:spacing w:after="100"/>
      </w:pPr>
      <w:r>
        <w:rPr>
          <w:rFonts w:ascii="Times New Roman" w:hAnsi="Times New Roman" w:eastAsia="Times New Roman" w:cs="Times New Roman"/>
          <w:sz w:val="24"/>
          <w:szCs w:val="24"/>
        </w:rPr>
        <w:t xml:space="preserve">18) Ülke, İl, İlçe Ve Okul Geneli Ortak Sınavlar, Mazeret Sınavları, Konu Soru Dağılım Tabloları Ve Değerlendirme İşlemlerinin Görüşülmesi</w:t>
      </w:r>
    </w:p>
    <w:p>
      <w:pPr>
        <w:jc w:val="left"/>
        <w:spacing w:after="100"/>
      </w:pPr>
      <w:r>
        <w:rPr>
          <w:rFonts w:ascii="Times New Roman" w:hAnsi="Times New Roman" w:eastAsia="Times New Roman" w:cs="Times New Roman"/>
          <w:sz w:val="24"/>
          <w:szCs w:val="24"/>
        </w:rPr>
        <w:t xml:space="preserve">19) Soru Ve Cevap Anahtarları, Dereceli Puanlama Anahtarları, Kontrol Listeleri Ve Beceri Sınavı Planlamalarının Görüşülmesi</w:t>
      </w:r>
    </w:p>
    <w:p>
      <w:pPr>
        <w:jc w:val="left"/>
        <w:spacing w:after="100"/>
      </w:pPr>
      <w:r>
        <w:rPr>
          <w:rFonts w:ascii="Times New Roman" w:hAnsi="Times New Roman" w:eastAsia="Times New Roman" w:cs="Times New Roman"/>
          <w:sz w:val="24"/>
          <w:szCs w:val="24"/>
        </w:rPr>
        <w:t xml:space="preserve">20) Ulusal Ve Uluslararası Sınav, Yarışma, Proje Ve Etkinlik Sonuçlarına Yönelik Değerlendirmelerin Görüşülmesi</w:t>
      </w:r>
    </w:p>
    <w:p>
      <w:pPr>
        <w:jc w:val="left"/>
        <w:spacing w:after="100"/>
      </w:pPr>
      <w:r>
        <w:rPr>
          <w:rFonts w:ascii="Times New Roman" w:hAnsi="Times New Roman" w:eastAsia="Times New Roman" w:cs="Times New Roman"/>
          <w:sz w:val="24"/>
          <w:szCs w:val="24"/>
        </w:rPr>
        <w:t xml:space="preserve">21) Girişimcilik, Araştırma, Geliştirme Ve Tasarım Becerilerine Yönelik Çalışmaların Planlanması</w:t>
      </w:r>
    </w:p>
    <w:p>
      <w:pPr>
        <w:jc w:val="left"/>
        <w:spacing w:after="100"/>
      </w:pPr>
      <w:r>
        <w:rPr>
          <w:rFonts w:ascii="Times New Roman" w:hAnsi="Times New Roman" w:eastAsia="Times New Roman" w:cs="Times New Roman"/>
          <w:sz w:val="24"/>
          <w:szCs w:val="24"/>
        </w:rPr>
        <w:t xml:space="preserve">22) Proje, Performans Ve Ürün Değerlendirme Çalışmalarının Planlanması</w:t>
      </w:r>
    </w:p>
    <w:p>
      <w:pPr>
        <w:jc w:val="left"/>
        <w:spacing w:after="100"/>
      </w:pPr>
      <w:r>
        <w:rPr>
          <w:rFonts w:ascii="Times New Roman" w:hAnsi="Times New Roman" w:eastAsia="Times New Roman" w:cs="Times New Roman"/>
          <w:sz w:val="24"/>
          <w:szCs w:val="24"/>
        </w:rPr>
        <w:t xml:space="preserve">23) İş Sağlığı Ve Güvenliği Tedbirlerinin Değerlendirilmesi</w:t>
      </w:r>
    </w:p>
    <w:p>
      <w:pPr>
        <w:jc w:val="left"/>
        <w:spacing w:after="100"/>
      </w:pPr>
      <w:r>
        <w:rPr>
          <w:rFonts w:ascii="Times New Roman" w:hAnsi="Times New Roman" w:eastAsia="Times New Roman" w:cs="Times New Roman"/>
          <w:sz w:val="24"/>
          <w:szCs w:val="24"/>
        </w:rPr>
        <w:t xml:space="preserve">24) Üst Düzey Düşünme, Problem Çözme, Karar Verme, Sosyal Ve Duygusal Becerilere Yönelik Çalışmaların Planlanması</w:t>
      </w:r>
    </w:p>
    <w:p>
      <w:pPr>
        <w:jc w:val="left"/>
        <w:spacing w:after="100"/>
      </w:pPr>
      <w:r>
        <w:rPr>
          <w:rFonts w:ascii="Times New Roman" w:hAnsi="Times New Roman" w:eastAsia="Times New Roman" w:cs="Times New Roman"/>
          <w:sz w:val="24"/>
          <w:szCs w:val="24"/>
        </w:rPr>
        <w:t xml:space="preserve">25) Millî, Manevi Ve Ahlaki Değerlerin Eğitim Öğretim Süreçlerinde Yürütülmesine Yönelik Çalışmaların Planlanması</w:t>
      </w:r>
    </w:p>
    <w:p>
      <w:pPr>
        <w:jc w:val="left"/>
        <w:spacing w:after="100"/>
      </w:pPr>
      <w:r>
        <w:rPr>
          <w:rFonts w:ascii="Times New Roman" w:hAnsi="Times New Roman" w:eastAsia="Times New Roman" w:cs="Times New Roman"/>
          <w:sz w:val="24"/>
          <w:szCs w:val="24"/>
        </w:rPr>
        <w:t xml:space="preserve">26) Önleme, Müdahale Ve Yönlendirme Çalışmalarının Planlanması</w:t>
      </w:r>
    </w:p>
    <w:p>
      <w:pPr>
        <w:jc w:val="left"/>
        <w:spacing w:after="100"/>
      </w:pPr>
      <w:r>
        <w:rPr>
          <w:rFonts w:ascii="Times New Roman" w:hAnsi="Times New Roman" w:eastAsia="Times New Roman" w:cs="Times New Roman"/>
          <w:sz w:val="24"/>
          <w:szCs w:val="24"/>
        </w:rPr>
        <w:t xml:space="preserve">27) Disiplinler Arası Çalışmaların Planlanması</w:t>
      </w:r>
    </w:p>
    <w:p>
      <w:pPr>
        <w:jc w:val="left"/>
        <w:spacing w:after="100"/>
      </w:pPr>
      <w:r>
        <w:rPr>
          <w:rFonts w:ascii="Times New Roman" w:hAnsi="Times New Roman" w:eastAsia="Times New Roman" w:cs="Times New Roman"/>
          <w:sz w:val="24"/>
          <w:szCs w:val="24"/>
        </w:rPr>
        <w:t xml:space="preserve">28) Çoklu Okuryazarlık İle Öğrencilerin Bedensel, Zihinsel, Duygusal, Sosyal Ve Ahlaki Gelişimine Yönelik Çalışmaların Planlanması</w:t>
      </w:r>
    </w:p>
    <w:p>
      <w:pPr>
        <w:jc w:val="left"/>
        <w:spacing w:after="100"/>
      </w:pPr>
      <w:r>
        <w:rPr>
          <w:rFonts w:ascii="Times New Roman" w:hAnsi="Times New Roman" w:eastAsia="Times New Roman" w:cs="Times New Roman"/>
          <w:sz w:val="24"/>
          <w:szCs w:val="24"/>
        </w:rPr>
        <w:t xml:space="preserve">29) Sosyal Sorumluluk Programı Kapsamında Yürütülebilecek Faaliyetlerin Planlanması</w:t>
      </w:r>
    </w:p>
    <w:p>
      <w:pPr>
        <w:jc w:val="left"/>
        <w:spacing w:after="100"/>
      </w:pPr>
      <w:r>
        <w:rPr>
          <w:rFonts w:ascii="Times New Roman" w:hAnsi="Times New Roman" w:eastAsia="Times New Roman" w:cs="Times New Roman"/>
          <w:sz w:val="24"/>
          <w:szCs w:val="24"/>
        </w:rPr>
        <w:t xml:space="preserve">30) Başarıyı Artırıcı Tedbirlerin Belirlenmesi</w:t>
      </w:r>
    </w:p>
    <w:p>
      <w:pPr>
        <w:jc w:val="left"/>
        <w:spacing w:after="100"/>
      </w:pPr>
      <w:r>
        <w:rPr>
          <w:rFonts w:ascii="Times New Roman" w:hAnsi="Times New Roman" w:eastAsia="Times New Roman" w:cs="Times New Roman"/>
          <w:sz w:val="24"/>
          <w:szCs w:val="24"/>
        </w:rPr>
        <w:t xml:space="preserve">31) Bilimsel Okuryazarlık, Veri Yorumlama Ve Problem Çözme Çalışmalarının Planlanması</w:t>
      </w:r>
    </w:p>
    <w:p>
      <w:pPr>
        <w:jc w:val="left"/>
        <w:spacing w:after="100"/>
      </w:pPr>
      <w:r>
        <w:rPr>
          <w:rFonts w:ascii="Times New Roman" w:hAnsi="Times New Roman" w:eastAsia="Times New Roman" w:cs="Times New Roman"/>
          <w:sz w:val="24"/>
          <w:szCs w:val="24"/>
        </w:rPr>
        <w:t xml:space="preserve">32) Okul İçi Ve Okul Dışı Faaliyetler İçin Araç, Gereç, Mali Kaynak Ve Diğer İhtiyaçların Belirlenmesi</w:t>
      </w:r>
    </w:p>
    <w:p>
      <w:pPr>
        <w:jc w:val="left"/>
        <w:spacing w:after="100"/>
      </w:pPr>
      <w:r>
        <w:rPr>
          <w:rFonts w:ascii="Times New Roman" w:hAnsi="Times New Roman" w:eastAsia="Times New Roman" w:cs="Times New Roman"/>
          <w:sz w:val="24"/>
          <w:szCs w:val="24"/>
        </w:rPr>
        <w:t xml:space="preserve">33) Öğrenci Devamsızlık Durumlarının Görüşülmesi</w:t>
      </w:r>
    </w:p>
    <w:p>
      <w:pPr>
        <w:jc w:val="left"/>
        <w:spacing w:after="100"/>
      </w:pPr>
      <w:r>
        <w:rPr>
          <w:rFonts w:ascii="Times New Roman" w:hAnsi="Times New Roman" w:eastAsia="Times New Roman" w:cs="Times New Roman"/>
          <w:sz w:val="24"/>
          <w:szCs w:val="24"/>
        </w:rPr>
        <w:t xml:space="preserve">34) Dilek Ve Temenniler</w:t>
      </w:r>
    </w:p>
    <w:p>
      <w:pPr>
        <w:jc w:val="left"/>
        <w:spacing w:after="100"/>
      </w:pPr>
      <w:r>
        <w:rPr>
          <w:rFonts w:ascii="Times New Roman" w:hAnsi="Times New Roman" w:eastAsia="Times New Roman" w:cs="Times New Roman"/>
          <w:sz w:val="24"/>
          <w:szCs w:val="24"/>
        </w:rPr>
        <w:t xml:space="preserve">35) Kapanış</w:t>
      </w:r>
    </w:p>
    <w:p>
      <w:pPr>
        <w:sectPr>
          <w:pgSz w:orient="portrait" w:w="11905.511811023621703498065471649169921875" w:h="16837.7952755905498634092509746551513671875"/>
          <w:pgMar w:top="1134" w:right="794" w:bottom="1134" w:left="794" w:header="720" w:footer="720" w:gutter="0"/>
          <w:cols w:num="1" w:space="720"/>
        </w:sectPr>
      </w:pPr>
    </w:p>
    <w:p>
      <w:pPr>
        <w:jc w:val="center"/>
        <w:spacing w:after="120"/>
      </w:pPr>
      <w:r>
        <w:rPr>
          <w:rFonts w:ascii="Times New Roman" w:hAnsi="Times New Roman" w:eastAsia="Times New Roman" w:cs="Times New Roman"/>
          <w:sz w:val="26"/>
          <w:szCs w:val="26"/>
          <w:b w:val="1"/>
          <w:bCs w:val="1"/>
        </w:rPr>
        <w:t xml:space="preserve">.......................................................</w:t>
      </w:r>
    </w:p>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FİZİK DERSİ SENE BAŞI ZÜMRE TOPLANTI TUTANAĞI</w:t>
      </w:r>
    </w:p>
    <w:p/>
    <w:p>
      <w:pPr>
        <w:jc w:val="center"/>
        <w:spacing w:before="120" w:after="160"/>
      </w:pPr>
      <w:r>
        <w:rPr>
          <w:rFonts w:ascii="Times New Roman" w:hAnsi="Times New Roman" w:eastAsia="Times New Roman" w:cs="Times New Roman"/>
          <w:sz w:val="26"/>
          <w:szCs w:val="26"/>
          <w:b w:val="1"/>
          <w:bCs w:val="1"/>
        </w:rPr>
        <w:t xml:space="preserve">GÜNDEM MADDELERİNİN GÖRÜŞÜLMESİ</w:t>
      </w:r>
    </w:p>
    <w:p>
      <w:pPr>
        <w:jc w:val="left"/>
        <w:spacing w:after="80"/>
      </w:pPr>
      <w:r>
        <w:rPr>
          <w:rFonts w:ascii="Times New Roman" w:hAnsi="Times New Roman" w:eastAsia="Times New Roman" w:cs="Times New Roman"/>
          <w:sz w:val="24"/>
          <w:szCs w:val="24"/>
          <w:b w:val="1"/>
          <w:bCs w:val="1"/>
        </w:rPr>
        <w:t xml:space="preserve">1) Açılış Ve Yoklama</w:t>
      </w:r>
    </w:p>
    <w:p>
      <w:pPr>
        <w:jc w:val="both"/>
        <w:spacing w:after="120"/>
      </w:pP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toplantıyı açarak hazır bulunan öğretmenlerin yoklamasını aldı. Zümrenin birinci dönem hazırlıklarına ilişkin görüşmelerin resmî gündem üzerinden yürütüleceği belirtildi.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alınacak kararların uygulama sürecinde izlenebilir olmasının önemini ifade etti.</w:t>
      </w:r>
    </w:p>
    <w:p/>
    <w:p>
      <w:pPr>
        <w:jc w:val="left"/>
        <w:spacing w:after="80"/>
      </w:pPr>
      <w:r>
        <w:rPr>
          <w:rFonts w:ascii="Times New Roman" w:hAnsi="Times New Roman" w:eastAsia="Times New Roman" w:cs="Times New Roman"/>
          <w:sz w:val="24"/>
          <w:szCs w:val="24"/>
          <w:b w:val="1"/>
          <w:bCs w:val="1"/>
        </w:rPr>
        <w:t xml:space="preserve">2) Toplantı Gündeminin Okunması</w:t>
      </w:r>
    </w:p>
    <w:p>
      <w:pPr>
        <w:jc w:val="both"/>
        <w:spacing w:after="120"/>
      </w:pPr>
      <w:r>
        <w:rPr>
          <w:rFonts w:ascii="Times New Roman" w:hAnsi="Times New Roman" w:eastAsia="Times New Roman" w:cs="Times New Roman"/>
          <w:sz w:val="24"/>
          <w:szCs w:val="24"/>
        </w:rPr>
        <w:t xml:space="preserve">Toplantı gündemi katılımcılara sunuldu ve maddeler üzerinde ekleme gerekip gerekmediği değerlendirildi. Fizik dersi için zümre yönergesi, yıllık plan, ölçme değerlendirme ve destekleme başlıklarının öncelikli olduğu belirtildi. Görüşmelerin belirlenen sıraya göre yapılması benimsendi.</w:t>
      </w:r>
    </w:p>
    <w:p/>
    <w:p>
      <w:pPr>
        <w:jc w:val="left"/>
        <w:spacing w:after="80"/>
      </w:pPr>
      <w:r>
        <w:rPr>
          <w:rFonts w:ascii="Times New Roman" w:hAnsi="Times New Roman" w:eastAsia="Times New Roman" w:cs="Times New Roman"/>
          <w:sz w:val="24"/>
          <w:szCs w:val="24"/>
          <w:b w:val="1"/>
          <w:bCs w:val="1"/>
        </w:rPr>
        <w:t xml:space="preserve">3) Önceki Toplantıda Alınan Kararların Değerlendirilmesi</w:t>
      </w:r>
    </w:p>
    <w:p>
      <w:pPr>
        <w:jc w:val="both"/>
        <w:spacing w:after="120"/>
      </w:pPr>
      <w:r>
        <w:rPr>
          <w:rFonts w:ascii="Times New Roman" w:hAnsi="Times New Roman" w:eastAsia="Times New Roman" w:cs="Times New Roman"/>
          <w:sz w:val="24"/>
          <w:szCs w:val="24"/>
        </w:rPr>
        <w:t xml:space="preserve">Geçmiş zümre kararları uygulama sonuçları yönünden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tamamlanamayan işlerin yeni dönem takviminde izlenmesi gerektiğini ifade etti. Kararların ders planları, materyal hazırlığı ve öğrenci takibi açısından yol gösterici olduğu belirtildi.</w:t>
      </w:r>
    </w:p>
    <w:p/>
    <w:p>
      <w:pPr>
        <w:jc w:val="left"/>
        <w:spacing w:after="80"/>
      </w:pPr>
      <w:r>
        <w:rPr>
          <w:rFonts w:ascii="Times New Roman" w:hAnsi="Times New Roman" w:eastAsia="Times New Roman" w:cs="Times New Roman"/>
          <w:sz w:val="24"/>
          <w:szCs w:val="24"/>
          <w:b w:val="1"/>
          <w:bCs w:val="1"/>
        </w:rPr>
        <w:t xml:space="preserve">4) Zümre Yönergesi, Görev Dağılımı Ve Toplantı İşleyişinin Görüşülmesi</w:t>
      </w:r>
    </w:p>
    <w:p>
      <w:pPr>
        <w:jc w:val="both"/>
        <w:spacing w:after="120"/>
      </w:pPr>
      <w:r>
        <w:rPr>
          <w:rFonts w:ascii="Times New Roman" w:hAnsi="Times New Roman" w:eastAsia="Times New Roman" w:cs="Times New Roman"/>
          <w:sz w:val="24"/>
          <w:szCs w:val="24"/>
        </w:rPr>
        <w:t xml:space="preserve">Zümre çalışmalarının yürütülmesinde esas alınacak yönerge hükümleri üzerinde duruldu.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görev paylaşımının yalnızca belge düzeniyle sınırlı kalmaması, uygulama takibine de hizmet etmesi gerektiğini ifade etti. Dönem içinde yapılacak mesleki paylaşımların zümre kararlarıyla uyumlu yürütülmesi benimsendi.</w:t>
      </w:r>
    </w:p>
    <w:p/>
    <w:p>
      <w:pPr>
        <w:jc w:val="left"/>
        <w:spacing w:after="80"/>
      </w:pPr>
      <w:r>
        <w:rPr>
          <w:rFonts w:ascii="Times New Roman" w:hAnsi="Times New Roman" w:eastAsia="Times New Roman" w:cs="Times New Roman"/>
          <w:sz w:val="24"/>
          <w:szCs w:val="24"/>
          <w:b w:val="1"/>
          <w:bCs w:val="1"/>
        </w:rPr>
        <w:t xml:space="preserve">5) Planlamaların Türkiye Yüzyılı Maarif Model Çerçeve Planı, Eğitim Ve Öğretim Mevzuatı, Okulun Kuruluş Amacı Ve Fizik Dersi Öğretim Programına Uygunluğunun Görüşülmesi</w:t>
      </w:r>
    </w:p>
    <w:p>
      <w:pPr>
        <w:jc w:val="both"/>
        <w:spacing w:after="120"/>
      </w:pPr>
      <w:r>
        <w:rPr>
          <w:rFonts w:ascii="Times New Roman" w:hAnsi="Times New Roman" w:eastAsia="Times New Roman" w:cs="Times New Roman"/>
          <w:sz w:val="24"/>
          <w:szCs w:val="24"/>
        </w:rPr>
        <w:t xml:space="preserve">Fizik dersi için yapılacak planlamaların mevzuat, okulun kuruluş amacı ve öğretim programı çerçevesinde yürütülmesi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planların yalnızca konu sıralaması değil, öğrenme çıktıları ve ölçme kanıtları bakımından da tutarlı hazırlanması gerektiğini ifade etti. Fizik dersinin yıl başı uygulamalarında bu başlığın düzenli izlenmesi gerektiği belirtildi.</w:t>
      </w:r>
    </w:p>
    <w:p/>
    <w:p>
      <w:pPr>
        <w:jc w:val="left"/>
        <w:spacing w:after="80"/>
      </w:pPr>
      <w:r>
        <w:rPr>
          <w:rFonts w:ascii="Times New Roman" w:hAnsi="Times New Roman" w:eastAsia="Times New Roman" w:cs="Times New Roman"/>
          <w:sz w:val="24"/>
          <w:szCs w:val="24"/>
          <w:b w:val="1"/>
          <w:bCs w:val="1"/>
        </w:rPr>
        <w:t xml:space="preserve">6) Millî Eğitim Bakanlığının 19.08.2026 Tarihli Ve 2026/70 Sayılı “2026-2027 Eğitim Ve Öğretim Yılına İlişkin İş Ve İşlemler” Konulu Genelgesi'nin İncelenmesi</w:t>
      </w:r>
    </w:p>
    <w:p>
      <w:pPr>
        <w:jc w:val="both"/>
        <w:spacing w:after="120"/>
      </w:pPr>
      <w:r>
        <w:rPr>
          <w:rFonts w:ascii="Times New Roman" w:hAnsi="Times New Roman" w:eastAsia="Times New Roman" w:cs="Times New Roman"/>
          <w:sz w:val="24"/>
          <w:szCs w:val="24"/>
        </w:rPr>
        <w:t xml:space="preserve">Millî Eğitim Bakanlığının 19.08.2026 tarihli ve 2026/70 sayılı “2026-2027 Eğitim ve Öğretim Yılına İlişkin İş ve İşlemler” konulu Genelgesi zümre öğretmenlerince incelendi. Genelgede yer alan Türkiye Yüzyılı Maarif Modeli’nin uygulanması, eğitim öğretim faaliyetlerinin planlı ve etkin yürütülmesi, ölçme ve değerlendirme uygulamaları, öğrenci gelişiminin izlenmesi, Bakanlıkça hazırlanan dijital eğitim platformlarının etkin kullanılması ve eğitim süreçlerinde uygulama birliğinin sağlanmasına ilişkin hususlar görüşüldü.</w:t>
      </w:r>
    </w:p>
    <w:p/>
    <w:p>
      <w:pPr>
        <w:jc w:val="left"/>
        <w:spacing w:after="80"/>
      </w:pPr>
      <w:r>
        <w:rPr>
          <w:rFonts w:ascii="Times New Roman" w:hAnsi="Times New Roman" w:eastAsia="Times New Roman" w:cs="Times New Roman"/>
          <w:sz w:val="24"/>
          <w:szCs w:val="24"/>
          <w:b w:val="1"/>
          <w:bCs w:val="1"/>
        </w:rPr>
        <w:t xml:space="preserve">7) 9, 10 Ve 11. Sınıflarda Uygulanacak Türkiye Yüzyılı Maarif Modeli’nin Fizik Dersi Özelinde Değerlendirilmesi</w:t>
      </w:r>
    </w:p>
    <w:p>
      <w:pPr>
        <w:jc w:val="both"/>
        <w:spacing w:after="120"/>
      </w:pPr>
      <w:r>
        <w:rPr>
          <w:rFonts w:ascii="Times New Roman" w:hAnsi="Times New Roman" w:eastAsia="Times New Roman" w:cs="Times New Roman"/>
          <w:sz w:val="24"/>
          <w:szCs w:val="24"/>
        </w:rPr>
        <w:t xml:space="preserve">Türkiye Yüzyılı Maarif Modeli’nin 9, 10 ve 11. sınıf düzeylerindeki öğrenme çıktıları ve içerik düzeni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yeni yaklaşımın etkinlik, ölçme aracı ve geri bildirim süreçlerinde açık karşılık bulması gerektiğini belirtti.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öğrencinin aktif katılımını artıracak uygulamaların dönem planında gösterilmesini önerdi.</w:t>
      </w:r>
    </w:p>
    <w:p/>
    <w:p>
      <w:pPr>
        <w:jc w:val="left"/>
        <w:spacing w:after="80"/>
      </w:pPr>
      <w:r>
        <w:rPr>
          <w:rFonts w:ascii="Times New Roman" w:hAnsi="Times New Roman" w:eastAsia="Times New Roman" w:cs="Times New Roman"/>
          <w:sz w:val="24"/>
          <w:szCs w:val="24"/>
          <w:b w:val="1"/>
          <w:bCs w:val="1"/>
        </w:rPr>
        <w:t xml:space="preserve">8) Öğretim Programı, Çevre Özellikleri, Yıllık Planlar, Ders Planları Ve Kazanım/öğrenme Çıktısı Ağırlıklarının Görüşülmesi</w:t>
      </w:r>
    </w:p>
    <w:p>
      <w:pPr>
        <w:jc w:val="both"/>
        <w:spacing w:after="120"/>
      </w:pPr>
      <w:r>
        <w:rPr>
          <w:rFonts w:ascii="Times New Roman" w:hAnsi="Times New Roman" w:eastAsia="Times New Roman" w:cs="Times New Roman"/>
          <w:sz w:val="24"/>
          <w:szCs w:val="24"/>
        </w:rPr>
        <w:t xml:space="preserve">Yıllık plan, ders planı ve çalışma takvimi öğretim programındaki öncelikler doğrultusunda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kazanım ve öğrenme çıktısı dağılımının dönem içine dengeli yerleştirilmesi gerektiğini ifade etti. Çevre şartları ve okul imkânlarının planlara yansıtılması gerektiği belirtildi.</w:t>
      </w:r>
    </w:p>
    <w:p/>
    <w:p>
      <w:pPr>
        <w:jc w:val="left"/>
        <w:spacing w:after="80"/>
      </w:pPr>
      <w:r>
        <w:rPr>
          <w:rFonts w:ascii="Times New Roman" w:hAnsi="Times New Roman" w:eastAsia="Times New Roman" w:cs="Times New Roman"/>
          <w:sz w:val="24"/>
          <w:szCs w:val="24"/>
          <w:b w:val="1"/>
          <w:bCs w:val="1"/>
        </w:rPr>
        <w:t xml:space="preserve">9) Fizik Dersinde Deney, Modelleme, Ölçme, Veri Yorumlama Ve Problem Çözme Çalışmalarının Planlanması</w:t>
      </w:r>
    </w:p>
    <w:p>
      <w:pPr>
        <w:jc w:val="both"/>
        <w:spacing w:after="120"/>
      </w:pPr>
      <w:r>
        <w:rPr>
          <w:rFonts w:ascii="Times New Roman" w:hAnsi="Times New Roman" w:eastAsia="Times New Roman" w:cs="Times New Roman"/>
          <w:sz w:val="24"/>
          <w:szCs w:val="24"/>
        </w:rPr>
        <w:t xml:space="preserve">Dersin alanına özgü beceri ve uygulama başlıkları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deney, modelleme, ölçme, veri yorumlama ve problem çözme çalışmalarının ölçme değerlendirme süreciyle birlikte planlanması gerektiğini ifade etti. Öğrencilerin derse aktif katılımını artıracak etkinlik örneklerinin yıllık plana yansıtılması değerlendirildi.</w:t>
      </w:r>
    </w:p>
    <w:p/>
    <w:p>
      <w:pPr>
        <w:jc w:val="left"/>
        <w:spacing w:after="80"/>
      </w:pPr>
      <w:r>
        <w:rPr>
          <w:rFonts w:ascii="Times New Roman" w:hAnsi="Times New Roman" w:eastAsia="Times New Roman" w:cs="Times New Roman"/>
          <w:sz w:val="24"/>
          <w:szCs w:val="24"/>
          <w:b w:val="1"/>
          <w:bCs w:val="1"/>
        </w:rPr>
        <w:t xml:space="preserve">10) Atatürkçülük Konuları İle Millî, Manevi Ve Ahlaki Değerler Kapsamında Yapılacak Çalışmaların Planlanması</w:t>
      </w:r>
    </w:p>
    <w:p>
      <w:pPr>
        <w:jc w:val="both"/>
        <w:spacing w:after="120"/>
      </w:pPr>
      <w:r>
        <w:rPr>
          <w:rFonts w:ascii="Times New Roman" w:hAnsi="Times New Roman" w:eastAsia="Times New Roman" w:cs="Times New Roman"/>
          <w:sz w:val="24"/>
          <w:szCs w:val="24"/>
        </w:rPr>
        <w:t xml:space="preserve">Derslerde Atatürkçülük konularına ve değerler eğitimine nasıl yer verileceği görüşüldü. Fizik dersinin içeriğine uygun metin, örnek olay, etkinlik veya uygulamalar üzerinden değerlerin somutlaştırılabileceği ifade edildi. Çalışmaların öğrencilerin yaş düzeyine uygun ve öğretim programıyla tutarlı olması gerektiği benimsendi.</w:t>
      </w:r>
    </w:p>
    <w:p/>
    <w:p>
      <w:pPr>
        <w:jc w:val="left"/>
        <w:spacing w:after="80"/>
      </w:pPr>
      <w:r>
        <w:rPr>
          <w:rFonts w:ascii="Times New Roman" w:hAnsi="Times New Roman" w:eastAsia="Times New Roman" w:cs="Times New Roman"/>
          <w:sz w:val="24"/>
          <w:szCs w:val="24"/>
          <w:b w:val="1"/>
          <w:bCs w:val="1"/>
        </w:rPr>
        <w:t xml:space="preserve">11) Derslerin İşlenişinde Kullanılacak Yöntem, Teknik Ve Okul Temelli Uygulamaların Belirlenmesi</w:t>
      </w:r>
    </w:p>
    <w:p>
      <w:pPr>
        <w:jc w:val="both"/>
        <w:spacing w:after="120"/>
      </w:pPr>
      <w:r>
        <w:rPr>
          <w:rFonts w:ascii="Times New Roman" w:hAnsi="Times New Roman" w:eastAsia="Times New Roman" w:cs="Times New Roman"/>
          <w:sz w:val="24"/>
          <w:szCs w:val="24"/>
        </w:rPr>
        <w:t xml:space="preserve">Fizik dersinde kullanılacak öğretim yöntemleri sınıf düzeyleri açısından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yöntem seçiminde öğrenme çıktısı, ders süresi ve öğrenci katılımının birlikte düşünülmesi gerektiğini söyledi. Fizik dersinin yıl başı uygulamalarında bu başlığın düzenli izlenmesi gerektiği belirtildi.</w:t>
      </w:r>
    </w:p>
    <w:p/>
    <w:p>
      <w:pPr>
        <w:jc w:val="left"/>
        <w:spacing w:after="80"/>
      </w:pPr>
      <w:r>
        <w:rPr>
          <w:rFonts w:ascii="Times New Roman" w:hAnsi="Times New Roman" w:eastAsia="Times New Roman" w:cs="Times New Roman"/>
          <w:sz w:val="24"/>
          <w:szCs w:val="24"/>
          <w:b w:val="1"/>
          <w:bCs w:val="1"/>
        </w:rPr>
        <w:t xml:space="preserve">12) Bep, Ders Planları, Farklılaştırılmış Uygulamalar, Zenginleştirme Ve Destekleme Çalışmalarının Görüşülmesi</w:t>
      </w:r>
    </w:p>
    <w:p>
      <w:pPr>
        <w:jc w:val="both"/>
        <w:spacing w:after="120"/>
      </w:pPr>
      <w:r>
        <w:rPr>
          <w:rFonts w:ascii="Times New Roman" w:hAnsi="Times New Roman" w:eastAsia="Times New Roman" w:cs="Times New Roman"/>
          <w:sz w:val="24"/>
          <w:szCs w:val="24"/>
        </w:rPr>
        <w:t xml:space="preserve">BEP hazırlama süreci, destekleme çalışmaları ve farklılaştırılmış etkinlikler değerlendirildi. Fizik dersinde öğrencinin güçlü yönlerini görünür kılacak görevler ile destek ihtiyacı duyduğu alanları izleyecek araçların birlikte kullanılabileceği belirtildi. Aile ve rehberlik servisiyle yürütülecek iletişimin düzenli olması gerektiği vurgulandı.</w:t>
      </w:r>
    </w:p>
    <w:p/>
    <w:p>
      <w:pPr>
        <w:jc w:val="left"/>
        <w:spacing w:after="80"/>
      </w:pPr>
      <w:r>
        <w:rPr>
          <w:rFonts w:ascii="Times New Roman" w:hAnsi="Times New Roman" w:eastAsia="Times New Roman" w:cs="Times New Roman"/>
          <w:sz w:val="24"/>
          <w:szCs w:val="24"/>
          <w:b w:val="1"/>
          <w:bCs w:val="1"/>
        </w:rPr>
        <w:t xml:space="preserve">13) Ders Ziyareti, Geri Dönüt, Mesleki Paylaşım Ve Zümreler Arası İş Birliği Esaslarının Belirlenmesi</w:t>
      </w:r>
    </w:p>
    <w:p>
      <w:pPr>
        <w:jc w:val="both"/>
        <w:spacing w:after="120"/>
      </w:pPr>
      <w:r>
        <w:rPr>
          <w:rFonts w:ascii="Times New Roman" w:hAnsi="Times New Roman" w:eastAsia="Times New Roman" w:cs="Times New Roman"/>
          <w:sz w:val="24"/>
          <w:szCs w:val="24"/>
        </w:rPr>
        <w:t xml:space="preserve">Zümre öğretmenleri arasında yapılacak ders ziyaretlerinin zamanı ve amacı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geri dönütlerin yapıcı, somut ve dersin geliştirilmesine yönelik olması gerektiğini ifade etti. Alanlar arası iş birliğinde ortak tema, proje ve etkinliklerin planlanabileceği belirtildi.</w:t>
      </w:r>
    </w:p>
    <w:p/>
    <w:p>
      <w:pPr>
        <w:jc w:val="left"/>
        <w:spacing w:after="80"/>
      </w:pPr>
      <w:r>
        <w:rPr>
          <w:rFonts w:ascii="Times New Roman" w:hAnsi="Times New Roman" w:eastAsia="Times New Roman" w:cs="Times New Roman"/>
          <w:sz w:val="24"/>
          <w:szCs w:val="24"/>
          <w:b w:val="1"/>
          <w:bCs w:val="1"/>
        </w:rPr>
        <w:t xml:space="preserve">14) Akademik, Bilimsel Ve Teknolojik Gelişmelerin Fizik Dersine Yansıtılmasının Görüşülmesi</w:t>
      </w:r>
    </w:p>
    <w:p>
      <w:pPr>
        <w:jc w:val="both"/>
        <w:spacing w:after="120"/>
      </w:pPr>
      <w:r>
        <w:rPr>
          <w:rFonts w:ascii="Times New Roman" w:hAnsi="Times New Roman" w:eastAsia="Times New Roman" w:cs="Times New Roman"/>
          <w:sz w:val="24"/>
          <w:szCs w:val="24"/>
        </w:rPr>
        <w:t xml:space="preserve">Alanla ilgili bilimsel çalışmalar, teknolojik araçlar ve güncel öğretim yaklaşımları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teknolojinin dersin amacını gölgelemeyecek biçimde öğrenmeyi destekleyen bir araç olarak kullanılması gerektiğini ifade etti. Öğretmenlerin yararlı kaynakları zümre içinde paylaşması benimsendi.</w:t>
      </w:r>
    </w:p>
    <w:p/>
    <w:p>
      <w:pPr>
        <w:jc w:val="left"/>
        <w:spacing w:after="80"/>
      </w:pPr>
      <w:r>
        <w:rPr>
          <w:rFonts w:ascii="Times New Roman" w:hAnsi="Times New Roman" w:eastAsia="Times New Roman" w:cs="Times New Roman"/>
          <w:sz w:val="24"/>
          <w:szCs w:val="24"/>
          <w:b w:val="1"/>
          <w:bCs w:val="1"/>
        </w:rPr>
        <w:t xml:space="preserve">15) Ders Araç Gereçleri, Öğretim Materyalleri, Bilişim Araçları Ve Eğitim Ortamlarının Etkin Kullanımının Planlanması</w:t>
      </w:r>
    </w:p>
    <w:p>
      <w:pPr>
        <w:jc w:val="both"/>
        <w:spacing w:after="120"/>
      </w:pPr>
      <w:r>
        <w:rPr>
          <w:rFonts w:ascii="Times New Roman" w:hAnsi="Times New Roman" w:eastAsia="Times New Roman" w:cs="Times New Roman"/>
          <w:sz w:val="24"/>
          <w:szCs w:val="24"/>
        </w:rPr>
        <w:t xml:space="preserve">Materyal ihtiyacı ve eğitim ortamlarının verimli kullanımı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laboratuvar, sınıf, kütüphane ve dijital deney ortamları gibi ortamların ders amaçlarına uygun planlanması gerektiğini belirtti. Ortak kullanılacak materyallerin zümre dosyasında listelenmesi değerlendirildi.</w:t>
      </w:r>
    </w:p>
    <w:p/>
    <w:p>
      <w:pPr>
        <w:jc w:val="left"/>
        <w:spacing w:after="80"/>
      </w:pPr>
      <w:r>
        <w:rPr>
          <w:rFonts w:ascii="Times New Roman" w:hAnsi="Times New Roman" w:eastAsia="Times New Roman" w:cs="Times New Roman"/>
          <w:sz w:val="24"/>
          <w:szCs w:val="24"/>
          <w:b w:val="1"/>
          <w:bCs w:val="1"/>
        </w:rPr>
        <w:t xml:space="preserve">16) Okul Ve Çevre İmkânlarına Dayalı Deney, Proje, Anket, Araştırma, Gezi, Gözlem Ve Okul Dışı Öğrenme Çalışmalarının Planlanması</w:t>
      </w:r>
    </w:p>
    <w:p>
      <w:pPr>
        <w:jc w:val="both"/>
        <w:spacing w:after="120"/>
      </w:pPr>
      <w:r>
        <w:rPr>
          <w:rFonts w:ascii="Times New Roman" w:hAnsi="Times New Roman" w:eastAsia="Times New Roman" w:cs="Times New Roman"/>
          <w:sz w:val="24"/>
          <w:szCs w:val="24"/>
        </w:rPr>
        <w:t xml:space="preserve">Gezi, gözlem, araştırma, anket, proje ve okul dışı öğrenme etkinlikleri için uygun başlıklar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etkinliklerin sadece gezi amacıyla değil, ders kazanımını destekleyen öğrenme süreci olarak planlanması gerektiğini söyledi. Okulun fiziki ve çevresel imkânlarının dönem planına yansıtılması değerlendirildi. Etkinliklerin öğrenme amacı, güvenlik ve izin süreçleri tamamlanmadan başlatılmaması gerektiği belirtildi.</w:t>
      </w:r>
    </w:p>
    <w:p/>
    <w:p>
      <w:pPr>
        <w:jc w:val="left"/>
        <w:spacing w:after="80"/>
      </w:pPr>
      <w:r>
        <w:rPr>
          <w:rFonts w:ascii="Times New Roman" w:hAnsi="Times New Roman" w:eastAsia="Times New Roman" w:cs="Times New Roman"/>
          <w:sz w:val="24"/>
          <w:szCs w:val="24"/>
          <w:b w:val="1"/>
          <w:bCs w:val="1"/>
        </w:rPr>
        <w:t xml:space="preserve">17) Ortak Yazılı Ve Uygulamalı Sınavlar, Öğrenci Başarısı, Sınav Analizleri Ve Kazanım Eksiklerine Yönelik Eylem Planlarının Görüşülmesi</w:t>
      </w:r>
    </w:p>
    <w:p>
      <w:pPr>
        <w:jc w:val="both"/>
        <w:spacing w:after="120"/>
      </w:pPr>
      <w:r>
        <w:rPr>
          <w:rFonts w:ascii="Times New Roman" w:hAnsi="Times New Roman" w:eastAsia="Times New Roman" w:cs="Times New Roman"/>
          <w:sz w:val="24"/>
          <w:szCs w:val="24"/>
        </w:rPr>
        <w:t xml:space="preserve">Yazılı sınav, uygulama ve öğrenme kanıtları üzerinden öğrenci başarısının nasıl değerlendirileceği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sonuçların sınıf düzeylerine göre karşılaştırılarak destekleme çalışmalarına dönüştürülmesi gerektiğini belirtti. Kazanım eksikliği görülen konular için izleme ve tekrar çalışmaları planlandı.</w:t>
      </w:r>
    </w:p>
    <w:p/>
    <w:p>
      <w:pPr>
        <w:jc w:val="left"/>
        <w:spacing w:after="80"/>
      </w:pPr>
      <w:r>
        <w:rPr>
          <w:rFonts w:ascii="Times New Roman" w:hAnsi="Times New Roman" w:eastAsia="Times New Roman" w:cs="Times New Roman"/>
          <w:sz w:val="24"/>
          <w:szCs w:val="24"/>
          <w:b w:val="1"/>
          <w:bCs w:val="1"/>
        </w:rPr>
        <w:t xml:space="preserve">18) Ülke, İl, İlçe Ve Okul Geneli Ortak Sınavlar, Mazeret Sınavları, Konu Soru Dağılım Tabloları Ve Değerlendirme İşlemlerinin Görüşülmesi</w:t>
      </w:r>
    </w:p>
    <w:p>
      <w:pPr>
        <w:jc w:val="both"/>
        <w:spacing w:after="120"/>
      </w:pPr>
      <w:r>
        <w:rPr>
          <w:rFonts w:ascii="Times New Roman" w:hAnsi="Times New Roman" w:eastAsia="Times New Roman" w:cs="Times New Roman"/>
          <w:sz w:val="24"/>
          <w:szCs w:val="24"/>
        </w:rPr>
        <w:t xml:space="preserve">Ortak sınav, mazeret sınavı ve değerlendirme süreçlerinin zümre içinde nasıl yürütüleceği görüşüldü.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sınav hazırlıklarında soru kapsamının kazanımlara dengeli dağılmasının önemini ifade etti. Mazeret sınavı uygulamalarında usul birliğinin sağlanması gerektiği belirtildi. Sınav takvimi ve değerlendirme işlemlerinin öğretmenler arasında önceden paylaşılması uygun görüldü.</w:t>
      </w:r>
    </w:p>
    <w:p/>
    <w:p>
      <w:pPr>
        <w:jc w:val="left"/>
        <w:spacing w:after="80"/>
      </w:pPr>
      <w:r>
        <w:rPr>
          <w:rFonts w:ascii="Times New Roman" w:hAnsi="Times New Roman" w:eastAsia="Times New Roman" w:cs="Times New Roman"/>
          <w:sz w:val="24"/>
          <w:szCs w:val="24"/>
          <w:b w:val="1"/>
          <w:bCs w:val="1"/>
        </w:rPr>
        <w:t xml:space="preserve">19) Soru Ve Cevap Anahtarları, Dereceli Puanlama Anahtarları, Kontrol Listeleri Ve Beceri Sınavı Planlamalarının Görüşülmesi</w:t>
      </w:r>
    </w:p>
    <w:p>
      <w:pPr>
        <w:jc w:val="both"/>
        <w:spacing w:after="120"/>
      </w:pPr>
      <w:r>
        <w:rPr>
          <w:rFonts w:ascii="Times New Roman" w:hAnsi="Times New Roman" w:eastAsia="Times New Roman" w:cs="Times New Roman"/>
          <w:sz w:val="24"/>
          <w:szCs w:val="24"/>
        </w:rPr>
        <w:t xml:space="preserve">Dereceli puanlama anahtarları, kontrol listeleri ve değerlendirme ölçeklerinin hazırlanma ilkeleri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ölçütlerin kazanım ve öğrenme çıktılarıyla açık ilişki kurması gerektiğini ifade etti. Beceri sınavı planlamalarında yönerge, süre ve puanlama ölçütlerinin önceden netleştirilmesi gerektiği belirtildi.</w:t>
      </w:r>
    </w:p>
    <w:p/>
    <w:p>
      <w:pPr>
        <w:jc w:val="left"/>
        <w:spacing w:after="80"/>
      </w:pPr>
      <w:r>
        <w:rPr>
          <w:rFonts w:ascii="Times New Roman" w:hAnsi="Times New Roman" w:eastAsia="Times New Roman" w:cs="Times New Roman"/>
          <w:sz w:val="24"/>
          <w:szCs w:val="24"/>
          <w:b w:val="1"/>
          <w:bCs w:val="1"/>
        </w:rPr>
        <w:t xml:space="preserve">20) Ulusal Ve Uluslararası Sınav, Yarışma, Proje Ve Etkinlik Sonuçlarına Yönelik Değerlendirmelerin Görüşülmesi</w:t>
      </w:r>
    </w:p>
    <w:p>
      <w:pPr>
        <w:jc w:val="both"/>
        <w:spacing w:after="120"/>
      </w:pPr>
      <w:r>
        <w:rPr>
          <w:rFonts w:ascii="Times New Roman" w:hAnsi="Times New Roman" w:eastAsia="Times New Roman" w:cs="Times New Roman"/>
          <w:sz w:val="24"/>
          <w:szCs w:val="24"/>
        </w:rPr>
        <w:t xml:space="preserve">Yarışma, sınav ve proje sonuçlarından elde edilebilecek veriler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katılım olmadığında da rapor ve örnek çalışmaların incelenerek zümreye fikir verebileceğini belirtti. Öğrencilerin ilgi ve yeteneklerine uygun etkinliklere yönlendirilmesi üzerinde duruldu.</w:t>
      </w:r>
    </w:p>
    <w:p/>
    <w:p>
      <w:pPr>
        <w:jc w:val="left"/>
        <w:spacing w:after="80"/>
      </w:pPr>
      <w:r>
        <w:rPr>
          <w:rFonts w:ascii="Times New Roman" w:hAnsi="Times New Roman" w:eastAsia="Times New Roman" w:cs="Times New Roman"/>
          <w:sz w:val="24"/>
          <w:szCs w:val="24"/>
          <w:b w:val="1"/>
          <w:bCs w:val="1"/>
        </w:rPr>
        <w:t xml:space="preserve">21) Girişimcilik, Araştırma, Geliştirme Ve Tasarım Becerilerine Yönelik Çalışmaların Planlanması</w:t>
      </w:r>
    </w:p>
    <w:p>
      <w:pPr>
        <w:jc w:val="both"/>
        <w:spacing w:after="120"/>
      </w:pPr>
      <w:r>
        <w:rPr>
          <w:rFonts w:ascii="Times New Roman" w:hAnsi="Times New Roman" w:eastAsia="Times New Roman" w:cs="Times New Roman"/>
          <w:sz w:val="24"/>
          <w:szCs w:val="24"/>
        </w:rPr>
        <w:t xml:space="preserve">Öğrencilerin üretken düşünme, araştırma yapma ve tasarım geliştirme becerileri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bu becerilerin proje ve performans görevleriyle desteklenebileceğini ifade etti. Fizik dersinin yıl başı uygulamalarında bu başlığın düzenli izlenmesi gerektiği belirtildi.</w:t>
      </w:r>
    </w:p>
    <w:p/>
    <w:p>
      <w:pPr>
        <w:jc w:val="left"/>
        <w:spacing w:after="80"/>
      </w:pPr>
      <w:r>
        <w:rPr>
          <w:rFonts w:ascii="Times New Roman" w:hAnsi="Times New Roman" w:eastAsia="Times New Roman" w:cs="Times New Roman"/>
          <w:sz w:val="24"/>
          <w:szCs w:val="24"/>
          <w:b w:val="1"/>
          <w:bCs w:val="1"/>
        </w:rPr>
        <w:t xml:space="preserve">22) Proje, Performans Ve Ürün Değerlendirme Çalışmalarının Planlanması</w:t>
      </w:r>
    </w:p>
    <w:p>
      <w:pPr>
        <w:jc w:val="both"/>
        <w:spacing w:after="120"/>
      </w:pPr>
      <w:r>
        <w:rPr>
          <w:rFonts w:ascii="Times New Roman" w:hAnsi="Times New Roman" w:eastAsia="Times New Roman" w:cs="Times New Roman"/>
          <w:sz w:val="24"/>
          <w:szCs w:val="24"/>
        </w:rPr>
        <w:t xml:space="preserve">Dönem içinde verilebilecek proje ve performans görevleri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görevlerin öğrenciyi araştırmaya, üretmeye ve derste öğrendiğini kullanmaya yöneltmesi gerektiğini belirtti. Ürün değerlendirme süreçlerinde ölçütlerin açık ve uygulanabilir olması gerektiği vurgulandı.</w:t>
      </w:r>
    </w:p>
    <w:p/>
    <w:p>
      <w:pPr>
        <w:jc w:val="left"/>
        <w:spacing w:after="80"/>
      </w:pPr>
      <w:r>
        <w:rPr>
          <w:rFonts w:ascii="Times New Roman" w:hAnsi="Times New Roman" w:eastAsia="Times New Roman" w:cs="Times New Roman"/>
          <w:sz w:val="24"/>
          <w:szCs w:val="24"/>
          <w:b w:val="1"/>
          <w:bCs w:val="1"/>
        </w:rPr>
        <w:t xml:space="preserve">23) İş Sağlığı Ve Güvenliği Tedbirlerinin Değerlendirilmesi</w:t>
      </w:r>
    </w:p>
    <w:p>
      <w:pPr>
        <w:jc w:val="both"/>
        <w:spacing w:after="120"/>
      </w:pPr>
      <w:r>
        <w:rPr>
          <w:rFonts w:ascii="Times New Roman" w:hAnsi="Times New Roman" w:eastAsia="Times New Roman" w:cs="Times New Roman"/>
          <w:sz w:val="24"/>
          <w:szCs w:val="24"/>
        </w:rPr>
        <w:t xml:space="preserve">Ders sürecinde oluşabilecek güvenlik riskleri ve alınacak önlemler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araç gereç kullanımında öğretmen gözetimi, düzenli kontrol ve açık yönergelerin önemli olduğunu belirtti. Okul dışı etkinliklerde izin ve bilgilendirme süreçlerinin eksiksiz yürütülmesi gerektiği ifade edildi.</w:t>
      </w:r>
    </w:p>
    <w:p/>
    <w:p>
      <w:pPr>
        <w:jc w:val="left"/>
        <w:spacing w:after="80"/>
      </w:pPr>
      <w:r>
        <w:rPr>
          <w:rFonts w:ascii="Times New Roman" w:hAnsi="Times New Roman" w:eastAsia="Times New Roman" w:cs="Times New Roman"/>
          <w:sz w:val="24"/>
          <w:szCs w:val="24"/>
          <w:b w:val="1"/>
          <w:bCs w:val="1"/>
        </w:rPr>
        <w:t xml:space="preserve">24) Üst Düzey Düşünme, Problem Çözme, Karar Verme, Sosyal Ve Duygusal Becerilere Yönelik Çalışmaların Planlanması</w:t>
      </w:r>
    </w:p>
    <w:p>
      <w:pPr>
        <w:jc w:val="both"/>
        <w:spacing w:after="120"/>
      </w:pPr>
      <w:r>
        <w:rPr>
          <w:rFonts w:ascii="Times New Roman" w:hAnsi="Times New Roman" w:eastAsia="Times New Roman" w:cs="Times New Roman"/>
          <w:sz w:val="24"/>
          <w:szCs w:val="24"/>
        </w:rPr>
        <w:t xml:space="preserve">Öğrencilerin düşünme ve sosyal duygusal becerilerini geliştirecek çalışmalar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bu becerilerin yalnızca rehberlik etkinliklerinde değil, ders içi görevlerde de desteklenmesi gerektiğini söyledi. Öğrenci katılımını artıracak tartışma, problem çözme ve yansıtma çalışmalarına yer verilmesi benimsendi. Etkinliklerin öğrencinin düşünmesini görünür kılan ürün veya kısa yansıtma çalışmalarıyla desteklenmesi önerildi.</w:t>
      </w:r>
    </w:p>
    <w:p/>
    <w:p>
      <w:pPr>
        <w:jc w:val="left"/>
        <w:spacing w:after="80"/>
      </w:pPr>
      <w:r>
        <w:rPr>
          <w:rFonts w:ascii="Times New Roman" w:hAnsi="Times New Roman" w:eastAsia="Times New Roman" w:cs="Times New Roman"/>
          <w:sz w:val="24"/>
          <w:szCs w:val="24"/>
          <w:b w:val="1"/>
          <w:bCs w:val="1"/>
        </w:rPr>
        <w:t xml:space="preserve">25) Millî, Manevi Ve Ahlaki Değerlerin Eğitim Öğretim Süreçlerinde Yürütülmesine Yönelik Çalışmaların Planlanması</w:t>
      </w:r>
    </w:p>
    <w:p>
      <w:pPr>
        <w:jc w:val="both"/>
        <w:spacing w:after="120"/>
      </w:pPr>
      <w:r>
        <w:rPr>
          <w:rFonts w:ascii="Times New Roman" w:hAnsi="Times New Roman" w:eastAsia="Times New Roman" w:cs="Times New Roman"/>
          <w:sz w:val="24"/>
          <w:szCs w:val="24"/>
        </w:rPr>
        <w:t xml:space="preserve">Değerler eğitiminin öğretim programıyla uyumlu biçimde ele alınması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değerlerin soyut anlatımlarla sınırlı kalmaması, öğrenci davranışı ve sınıf içi etkileşimle desteklenmesi gerektiğini belirtti. Okulun genel değerler eğitimi çalışmalarıyla zümre planlarının uyumlu yürütülmesi değerlendirildi.</w:t>
      </w:r>
    </w:p>
    <w:p/>
    <w:p>
      <w:pPr>
        <w:jc w:val="left"/>
        <w:spacing w:after="80"/>
      </w:pPr>
      <w:r>
        <w:rPr>
          <w:rFonts w:ascii="Times New Roman" w:hAnsi="Times New Roman" w:eastAsia="Times New Roman" w:cs="Times New Roman"/>
          <w:sz w:val="24"/>
          <w:szCs w:val="24"/>
          <w:b w:val="1"/>
          <w:bCs w:val="1"/>
        </w:rPr>
        <w:t xml:space="preserve">26) Önleme, Müdahale Ve Yönlendirme Çalışmalarının Planlanması</w:t>
      </w:r>
    </w:p>
    <w:p>
      <w:pPr>
        <w:jc w:val="both"/>
        <w:spacing w:after="120"/>
      </w:pPr>
      <w:r>
        <w:rPr>
          <w:rFonts w:ascii="Times New Roman" w:hAnsi="Times New Roman" w:eastAsia="Times New Roman" w:cs="Times New Roman"/>
          <w:sz w:val="24"/>
          <w:szCs w:val="24"/>
        </w:rPr>
        <w:t xml:space="preserve">Öğrencilerin akademik ve sosyal açıdan desteklenmesini gerektiren durumlar üzerinde duruldu.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sorunların büyümeden fark edilmesi için ders içi katılım ve davranış değişimlerinin izlenmesi gerektiğini belirtti. Yönlendirme gerektiren durumlarda kayıtlı ve düzenli iletişim kurulması benimsendi.</w:t>
      </w:r>
    </w:p>
    <w:p/>
    <w:p>
      <w:pPr>
        <w:jc w:val="left"/>
        <w:spacing w:after="80"/>
      </w:pPr>
      <w:r>
        <w:rPr>
          <w:rFonts w:ascii="Times New Roman" w:hAnsi="Times New Roman" w:eastAsia="Times New Roman" w:cs="Times New Roman"/>
          <w:sz w:val="24"/>
          <w:szCs w:val="24"/>
          <w:b w:val="1"/>
          <w:bCs w:val="1"/>
        </w:rPr>
        <w:t xml:space="preserve">27) Disiplinler Arası Çalışmaların Planlanması</w:t>
      </w:r>
    </w:p>
    <w:p>
      <w:pPr>
        <w:jc w:val="both"/>
        <w:spacing w:after="120"/>
      </w:pPr>
      <w:r>
        <w:rPr>
          <w:rFonts w:ascii="Times New Roman" w:hAnsi="Times New Roman" w:eastAsia="Times New Roman" w:cs="Times New Roman"/>
          <w:sz w:val="24"/>
          <w:szCs w:val="24"/>
        </w:rPr>
        <w:t xml:space="preserve">Farklı derslerle yapılabilecek ortak çalışmalar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disiplinler arası etkinliklerde amaç, zaman ve görev paylaşımının net belirlenmesi gerektiğini ifade etti. Fizik dersinin katkı sağlayabileceği proje ve etkinlik alanları tartışıldı.</w:t>
      </w:r>
    </w:p>
    <w:p/>
    <w:p>
      <w:pPr>
        <w:jc w:val="left"/>
        <w:spacing w:after="80"/>
      </w:pPr>
      <w:r>
        <w:rPr>
          <w:rFonts w:ascii="Times New Roman" w:hAnsi="Times New Roman" w:eastAsia="Times New Roman" w:cs="Times New Roman"/>
          <w:sz w:val="24"/>
          <w:szCs w:val="24"/>
          <w:b w:val="1"/>
          <w:bCs w:val="1"/>
        </w:rPr>
        <w:t xml:space="preserve">28) Çoklu Okuryazarlık İle Öğrencilerin Bedensel, Zihinsel, Duygusal, Sosyal Ve Ahlaki Gelişimine Yönelik Çalışmaların Planlanması</w:t>
      </w:r>
    </w:p>
    <w:p>
      <w:pPr>
        <w:jc w:val="both"/>
        <w:spacing w:after="120"/>
      </w:pPr>
      <w:r>
        <w:rPr>
          <w:rFonts w:ascii="Times New Roman" w:hAnsi="Times New Roman" w:eastAsia="Times New Roman" w:cs="Times New Roman"/>
          <w:sz w:val="24"/>
          <w:szCs w:val="24"/>
        </w:rPr>
        <w:t xml:space="preserve">Öğrencilerin bütüncül gelişimini destekleyen çoklu okuryazarlık çalışmaları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bilimsel okuryazarlık, veri okuryazarlığı ve teknoloji okuryazarlığı becerilerinin ders içi etkinlik, öğrenci ürünü ve geri bildirim süreçleriyle ilişkilendirilmesi gerektiğini belirtti.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bedensel, zihinsel, duygusal, sosyal ve ahlaki gelişimi destekleyen etkinliklerin yaş düzeyine uygun seçilmesini önerdi.</w:t>
      </w:r>
    </w:p>
    <w:p/>
    <w:p>
      <w:pPr>
        <w:jc w:val="left"/>
        <w:spacing w:after="80"/>
      </w:pPr>
      <w:r>
        <w:rPr>
          <w:rFonts w:ascii="Times New Roman" w:hAnsi="Times New Roman" w:eastAsia="Times New Roman" w:cs="Times New Roman"/>
          <w:sz w:val="24"/>
          <w:szCs w:val="24"/>
          <w:b w:val="1"/>
          <w:bCs w:val="1"/>
        </w:rPr>
        <w:t xml:space="preserve">29) Sosyal Sorumluluk Programı Kapsamında Yürütülebilecek Faaliyetlerin Planlanması</w:t>
      </w:r>
    </w:p>
    <w:p>
      <w:pPr>
        <w:jc w:val="both"/>
        <w:spacing w:after="120"/>
      </w:pPr>
      <w:r>
        <w:rPr>
          <w:rFonts w:ascii="Times New Roman" w:hAnsi="Times New Roman" w:eastAsia="Times New Roman" w:cs="Times New Roman"/>
          <w:sz w:val="24"/>
          <w:szCs w:val="24"/>
        </w:rPr>
        <w:t xml:space="preserve">Ders bazında yapılabilecek sosyal sorumluluk çalışmaları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çalışmaların öğrenci katılımını artıran, ölçülebilir ve sürdürülebilir nitelikte planlanması gerektiğini söyledi. Gerekli durumlarda okul idaresi ve ilgili kulüplerle iş birliği yapılabileceği belirtildi.</w:t>
      </w:r>
    </w:p>
    <w:p/>
    <w:p>
      <w:pPr>
        <w:jc w:val="left"/>
        <w:spacing w:after="80"/>
      </w:pPr>
      <w:r>
        <w:rPr>
          <w:rFonts w:ascii="Times New Roman" w:hAnsi="Times New Roman" w:eastAsia="Times New Roman" w:cs="Times New Roman"/>
          <w:sz w:val="24"/>
          <w:szCs w:val="24"/>
          <w:b w:val="1"/>
          <w:bCs w:val="1"/>
        </w:rPr>
        <w:t xml:space="preserve">30) Başarıyı Artırıcı Tedbirlerin Belirlenmesi</w:t>
      </w:r>
    </w:p>
    <w:p>
      <w:pPr>
        <w:jc w:val="both"/>
        <w:spacing w:after="120"/>
      </w:pPr>
      <w:r>
        <w:rPr>
          <w:rFonts w:ascii="Times New Roman" w:hAnsi="Times New Roman" w:eastAsia="Times New Roman" w:cs="Times New Roman"/>
          <w:sz w:val="24"/>
          <w:szCs w:val="24"/>
        </w:rPr>
        <w:t xml:space="preserve">Öğrenci başarısını artırmak için uygulanabilecek destekleme yolları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başarı takibinin yalnızca sınav sonuçlarına değil, ders içi performans ve katılıma da dayanması gerektiğini ifade etti. Fizik dersinin yıl başı uygulamalarında bu başlığın düzenli izlenmesi gerektiği belirtildi.</w:t>
      </w:r>
    </w:p>
    <w:p/>
    <w:p>
      <w:pPr>
        <w:jc w:val="left"/>
        <w:spacing w:after="80"/>
      </w:pPr>
      <w:r>
        <w:rPr>
          <w:rFonts w:ascii="Times New Roman" w:hAnsi="Times New Roman" w:eastAsia="Times New Roman" w:cs="Times New Roman"/>
          <w:sz w:val="24"/>
          <w:szCs w:val="24"/>
          <w:b w:val="1"/>
          <w:bCs w:val="1"/>
        </w:rPr>
        <w:t xml:space="preserve">31) Bilimsel Okuryazarlık, Veri Yorumlama Ve Problem Çözme Çalışmalarının Planlanması</w:t>
      </w:r>
    </w:p>
    <w:p>
      <w:pPr>
        <w:jc w:val="both"/>
        <w:spacing w:after="120"/>
      </w:pPr>
      <w:r>
        <w:rPr>
          <w:rFonts w:ascii="Times New Roman" w:hAnsi="Times New Roman" w:eastAsia="Times New Roman" w:cs="Times New Roman"/>
          <w:sz w:val="24"/>
          <w:szCs w:val="24"/>
        </w:rPr>
        <w:t xml:space="preserve">Bilimsel okuryazarlık, veri yorumlama ve problem çözme çalışmalarının başlığı altında yürütülebilecek etkinlikler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etkinliklerin yalnızca ek çalışma olarak değil, dersin temel öğrenme çıktılarıyla ilişkili biçimde uygulanması gerektiğini ifade etti.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öğrenci ürünlerinin ve kısa değerlendirme notlarının zümre içinde paylaşılmasının yararlı olacağını belirtti.</w:t>
      </w:r>
    </w:p>
    <w:p/>
    <w:p>
      <w:pPr>
        <w:jc w:val="left"/>
        <w:spacing w:after="80"/>
      </w:pPr>
      <w:r>
        <w:rPr>
          <w:rFonts w:ascii="Times New Roman" w:hAnsi="Times New Roman" w:eastAsia="Times New Roman" w:cs="Times New Roman"/>
          <w:sz w:val="24"/>
          <w:szCs w:val="24"/>
          <w:b w:val="1"/>
          <w:bCs w:val="1"/>
        </w:rPr>
        <w:t xml:space="preserve">32) Okul İçi Ve Okul Dışı Faaliyetler İçin Araç, Gereç, Mali Kaynak Ve Diğer İhtiyaçların Belirlenmesi</w:t>
      </w:r>
    </w:p>
    <w:p>
      <w:pPr>
        <w:jc w:val="both"/>
        <w:spacing w:after="120"/>
      </w:pPr>
      <w:r>
        <w:rPr>
          <w:rFonts w:ascii="Times New Roman" w:hAnsi="Times New Roman" w:eastAsia="Times New Roman" w:cs="Times New Roman"/>
          <w:sz w:val="24"/>
          <w:szCs w:val="24"/>
        </w:rPr>
        <w:t xml:space="preserve">Faaliyetlerin yürütülmesi için gerekli kaynaklar ve hazırlıklar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ihtiyaçların gerçekçi biçimde listelenmesi ve öncelik sırasına konulması gerektiğini söyledi. Okul dışı etkinliklerde ulaşım, izin, güvenlik ve materyal boyutlarının birlikte planlanması gerektiği vurgulandı.</w:t>
      </w:r>
    </w:p>
    <w:p/>
    <w:p>
      <w:pPr>
        <w:jc w:val="left"/>
        <w:spacing w:after="80"/>
      </w:pPr>
      <w:r>
        <w:rPr>
          <w:rFonts w:ascii="Times New Roman" w:hAnsi="Times New Roman" w:eastAsia="Times New Roman" w:cs="Times New Roman"/>
          <w:sz w:val="24"/>
          <w:szCs w:val="24"/>
          <w:b w:val="1"/>
          <w:bCs w:val="1"/>
        </w:rPr>
        <w:t xml:space="preserve">33) Öğrenci Devamsızlık Durumlarının Görüşülmesi</w:t>
      </w:r>
    </w:p>
    <w:p>
      <w:pPr>
        <w:jc w:val="both"/>
        <w:spacing w:after="120"/>
      </w:pPr>
      <w:r>
        <w:rPr>
          <w:rFonts w:ascii="Times New Roman" w:hAnsi="Times New Roman" w:eastAsia="Times New Roman" w:cs="Times New Roman"/>
          <w:sz w:val="24"/>
          <w:szCs w:val="24"/>
        </w:rPr>
        <w:t xml:space="preserve">Devamsızlık durumlarının izlenmesi ve ders başarısıyla ilişkisi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süreklilik gerektiren konularda devamsızlığın öğrenme boşluğu oluşturabileceğini belirtti. Riskli öğrenciler için zamanında bilgilendirme ve telafi çalışması yapılması değerlendirildi.</w:t>
      </w:r>
    </w:p>
    <w:p/>
    <w:p>
      <w:pPr>
        <w:jc w:val="left"/>
        <w:spacing w:after="80"/>
      </w:pPr>
      <w:r>
        <w:rPr>
          <w:rFonts w:ascii="Times New Roman" w:hAnsi="Times New Roman" w:eastAsia="Times New Roman" w:cs="Times New Roman"/>
          <w:sz w:val="24"/>
          <w:szCs w:val="24"/>
          <w:b w:val="1"/>
          <w:bCs w:val="1"/>
        </w:rPr>
        <w:t xml:space="preserve">34) Dilek Ve Temenniler</w:t>
      </w:r>
    </w:p>
    <w:p>
      <w:pPr>
        <w:jc w:val="both"/>
        <w:spacing w:after="120"/>
      </w:pPr>
      <w:r>
        <w:rPr>
          <w:rFonts w:ascii="Times New Roman" w:hAnsi="Times New Roman" w:eastAsia="Times New Roman" w:cs="Times New Roman"/>
          <w:sz w:val="24"/>
          <w:szCs w:val="24"/>
        </w:rPr>
        <w:t xml:space="preserve">Katılımcılar dersin yürütülmesine ilişkin ek görüşlerini paylaştı.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önerilerin zümre kararlarıyla uyumlu biçimde değerlendirilmesi gerektiğini ifade etti. Paylaşılan önerilerin zümre çalışmaları içinde dikkate alınması uygun görüldü.</w:t>
      </w:r>
    </w:p>
    <w:p/>
    <w:p>
      <w:pPr>
        <w:jc w:val="left"/>
        <w:spacing w:after="80"/>
      </w:pPr>
      <w:r>
        <w:rPr>
          <w:rFonts w:ascii="Times New Roman" w:hAnsi="Times New Roman" w:eastAsia="Times New Roman" w:cs="Times New Roman"/>
          <w:sz w:val="24"/>
          <w:szCs w:val="24"/>
          <w:b w:val="1"/>
          <w:bCs w:val="1"/>
        </w:rPr>
        <w:t xml:space="preserve">35) Kapanış</w:t>
      </w:r>
    </w:p>
    <w:p>
      <w:pPr>
        <w:jc w:val="both"/>
        <w:spacing w:after="120"/>
      </w:pPr>
      <w:r>
        <w:rPr>
          <w:rFonts w:ascii="Times New Roman" w:hAnsi="Times New Roman" w:eastAsia="Times New Roman" w:cs="Times New Roman"/>
          <w:sz w:val="24"/>
          <w:szCs w:val="24"/>
        </w:rPr>
        <w:t xml:space="preserve">Toplantıda görüşülen başlıklar ve alınan kararlar gözden geçirildi.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kararların uygulanma durumunun dönem içinde zümre toplantılarında yeniden ele alınacağını ifade etti. Katılımcılara katkılarından dolayı teşekkür edildi.</w:t>
      </w:r>
    </w:p>
    <w:p/>
    <w:p>
      <w:pPr>
        <w:sectPr>
          <w:pgSz w:orient="portrait" w:w="11905.511811023621703498065471649169921875" w:h="16837.7952755905498634092509746551513671875"/>
          <w:pgMar w:top="1134" w:right="794" w:bottom="1134" w:left="794" w:header="720" w:footer="720" w:gutter="0"/>
          <w:cols w:num="1" w:space="720"/>
        </w:sectPr>
      </w:pPr>
    </w:p>
    <w:p>
      <w:pPr>
        <w:jc w:val="center"/>
        <w:spacing w:after="120"/>
      </w:pPr>
      <w:r>
        <w:rPr>
          <w:rFonts w:ascii="Times New Roman" w:hAnsi="Times New Roman" w:eastAsia="Times New Roman" w:cs="Times New Roman"/>
          <w:sz w:val="26"/>
          <w:szCs w:val="26"/>
          <w:b w:val="1"/>
          <w:bCs w:val="1"/>
        </w:rPr>
        <w:t xml:space="preserve">.......................................................</w:t>
      </w:r>
    </w:p>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FİZİK DERSİ SENE BAŞI ZÜMRE TOPLANTI TUTANAĞI</w:t>
      </w:r>
    </w:p>
    <w:p/>
    <w:p>
      <w:pPr>
        <w:jc w:val="center"/>
        <w:spacing w:before="120" w:after="160"/>
      </w:pPr>
      <w:r>
        <w:rPr>
          <w:rFonts w:ascii="Times New Roman" w:hAnsi="Times New Roman" w:eastAsia="Times New Roman" w:cs="Times New Roman"/>
          <w:sz w:val="26"/>
          <w:szCs w:val="26"/>
          <w:b w:val="1"/>
          <w:bCs w:val="1"/>
        </w:rPr>
        <w:t xml:space="preserve">ALINAN KARARLAR</w:t>
      </w:r>
    </w:p>
    <w:p>
      <w:pPr>
        <w:jc w:val="both"/>
        <w:spacing w:after="120"/>
      </w:pPr>
      <w:r>
        <w:rPr>
          <w:rFonts w:ascii="Times New Roman" w:hAnsi="Times New Roman" w:eastAsia="Times New Roman" w:cs="Times New Roman"/>
          <w:sz w:val="24"/>
          <w:szCs w:val="24"/>
        </w:rPr>
        <w:t xml:space="preserve">1) Açılış ve yoklamanın usulüne uygun yapılmasına, katılımcı bilgilerinin tutanakta gösterilmesine karar verildi.</w:t>
      </w:r>
    </w:p>
    <w:p>
      <w:pPr>
        <w:jc w:val="both"/>
        <w:spacing w:after="120"/>
      </w:pPr>
      <w:r>
        <w:rPr>
          <w:rFonts w:ascii="Times New Roman" w:hAnsi="Times New Roman" w:eastAsia="Times New Roman" w:cs="Times New Roman"/>
          <w:sz w:val="24"/>
          <w:szCs w:val="24"/>
        </w:rPr>
        <w:t xml:space="preserve">2) Toplantı gündeminin belirlenen sırayla görüşülmesine, ek görüşlerin dilek ve temenniler bölümünde değerlendirilmesine karar verildi.</w:t>
      </w:r>
    </w:p>
    <w:p>
      <w:pPr>
        <w:jc w:val="both"/>
        <w:spacing w:after="120"/>
      </w:pPr>
      <w:r>
        <w:rPr>
          <w:rFonts w:ascii="Times New Roman" w:hAnsi="Times New Roman" w:eastAsia="Times New Roman" w:cs="Times New Roman"/>
          <w:sz w:val="24"/>
          <w:szCs w:val="24"/>
        </w:rPr>
        <w:t xml:space="preserve">3) Önceki toplantıda alınan kararlardan devam edenlerin yeni dönem planlamalarında izlenmesine, tamamlanan kararların zümre dosyasında gösterilmesine karar verildi.</w:t>
      </w:r>
    </w:p>
    <w:p>
      <w:pPr>
        <w:jc w:val="both"/>
        <w:spacing w:after="120"/>
      </w:pPr>
      <w:r>
        <w:rPr>
          <w:rFonts w:ascii="Times New Roman" w:hAnsi="Times New Roman" w:eastAsia="Times New Roman" w:cs="Times New Roman"/>
          <w:sz w:val="24"/>
          <w:szCs w:val="24"/>
        </w:rPr>
        <w:t xml:space="preserve">4) Zümre yönergesindeki görev ve sorumluluklara uygun hareket edilmesine, görev dağılımının tutanakta açık biçimde gösterilmesine karar verildi.</w:t>
      </w:r>
    </w:p>
    <w:p>
      <w:pPr>
        <w:jc w:val="both"/>
        <w:spacing w:after="120"/>
      </w:pPr>
      <w:r>
        <w:rPr>
          <w:rFonts w:ascii="Times New Roman" w:hAnsi="Times New Roman" w:eastAsia="Times New Roman" w:cs="Times New Roman"/>
          <w:sz w:val="24"/>
          <w:szCs w:val="24"/>
        </w:rPr>
        <w:t xml:space="preserve">5) Planlamaların Türkiye Yüzyılı Maarif Model Çerçeve Planı, ilgili mevzuat, okulun amacı ve Fizik dersi öğretim programıyla uyumlu hazırlanmasına karar verildi.</w:t>
      </w:r>
    </w:p>
    <w:p>
      <w:pPr>
        <w:jc w:val="both"/>
        <w:spacing w:after="120"/>
      </w:pPr>
      <w:r>
        <w:rPr>
          <w:rFonts w:ascii="Times New Roman" w:hAnsi="Times New Roman" w:eastAsia="Times New Roman" w:cs="Times New Roman"/>
          <w:sz w:val="24"/>
          <w:szCs w:val="24"/>
        </w:rPr>
        <w:t xml:space="preserve">6) 2026-2027 eğitim öğretim yılı süresince zümreye ait eğitim, öğretim, ölçme ve değerlendirme çalışmalarının 2026/70 sayılı Genelgede belirtilen esaslar doğrultusunda yürütülmesine; Türkiye Yüzyılı Maarif Modeli’nin öngördüğü beceri ve değer temelli yaklaşımın derslere yansıtılmasına, ortak yazılı sınavlarda konu-soru dağılım tablolarının esas alınmasına ve açık uçlu veya açık uçlu-kısa cevaplı sorulara yer verilmesine; Bakanlıkça sunulan eğitim materyalleri ve dijital platformlardan etkin biçimde yararlanılmasına oy birliğiyle karar verildi.</w:t>
      </w:r>
    </w:p>
    <w:p>
      <w:pPr>
        <w:jc w:val="both"/>
        <w:spacing w:after="120"/>
      </w:pPr>
      <w:r>
        <w:rPr>
          <w:rFonts w:ascii="Times New Roman" w:hAnsi="Times New Roman" w:eastAsia="Times New Roman" w:cs="Times New Roman"/>
          <w:sz w:val="24"/>
          <w:szCs w:val="24"/>
        </w:rPr>
        <w:t xml:space="preserve">7) 9, 10 ve 11. sınıf düzeylerinde Türkiye Yüzyılı Maarif Modeli kapsamındaki öğrenme çıktıları, etkinlikler, öğrenme kanıtları ve ölçme değerlendirme uygulamalarının Fizik dersi planlarına yansıtılmasına karar verildi.</w:t>
      </w:r>
    </w:p>
    <w:p>
      <w:pPr>
        <w:jc w:val="both"/>
        <w:spacing w:after="120"/>
      </w:pPr>
      <w:r>
        <w:rPr>
          <w:rFonts w:ascii="Times New Roman" w:hAnsi="Times New Roman" w:eastAsia="Times New Roman" w:cs="Times New Roman"/>
          <w:sz w:val="24"/>
          <w:szCs w:val="24"/>
        </w:rPr>
        <w:t xml:space="preserve">8) Yıllık planlar ve ders planlarının kazanım/öğrenme çıktısı ağırlıkları, okul takvimi, çevre özellikleri ve sınıf düzeyleri dikkate alınarak hazırlanmasına karar verildi.</w:t>
      </w:r>
    </w:p>
    <w:p>
      <w:pPr>
        <w:jc w:val="both"/>
        <w:spacing w:after="120"/>
      </w:pPr>
      <w:r>
        <w:rPr>
          <w:rFonts w:ascii="Times New Roman" w:hAnsi="Times New Roman" w:eastAsia="Times New Roman" w:cs="Times New Roman"/>
          <w:sz w:val="24"/>
          <w:szCs w:val="24"/>
        </w:rPr>
        <w:t xml:space="preserve">9) Fizik dersinde deney, modelleme, ölçme, veri yorumlama ve problem çözme alanlarını geliştirecek etkinliklerin sınıf düzeylerine göre planlanmasına, öğrenci ürünleri ve katılımının düzenli izlenmesine karar verildi.</w:t>
      </w:r>
    </w:p>
    <w:p>
      <w:pPr>
        <w:jc w:val="both"/>
        <w:spacing w:after="120"/>
      </w:pPr>
      <w:r>
        <w:rPr>
          <w:rFonts w:ascii="Times New Roman" w:hAnsi="Times New Roman" w:eastAsia="Times New Roman" w:cs="Times New Roman"/>
          <w:sz w:val="24"/>
          <w:szCs w:val="24"/>
        </w:rPr>
        <w:t xml:space="preserve">10) Atatürkçülük konuları ile millî, manevi ve ahlaki değerlerin öğretim programındaki uygun konu, kazanım ve etkinliklerle ilişkilendirilmesine karar verildi.</w:t>
      </w:r>
    </w:p>
    <w:p>
      <w:pPr>
        <w:jc w:val="both"/>
        <w:spacing w:after="120"/>
      </w:pPr>
      <w:r>
        <w:rPr>
          <w:rFonts w:ascii="Times New Roman" w:hAnsi="Times New Roman" w:eastAsia="Times New Roman" w:cs="Times New Roman"/>
          <w:sz w:val="24"/>
          <w:szCs w:val="24"/>
        </w:rPr>
        <w:t xml:space="preserve">11) Derslerde kullanılacak yöntem ve tekniklerin öğrenme çıktısı, öğrenci düzeyi ve okul temelli uygulamalar dikkate alınarak çeşitlendirilmesine karar verildi.</w:t>
      </w:r>
    </w:p>
    <w:p>
      <w:pPr>
        <w:jc w:val="both"/>
        <w:spacing w:after="120"/>
      </w:pPr>
      <w:r>
        <w:rPr>
          <w:rFonts w:ascii="Times New Roman" w:hAnsi="Times New Roman" w:eastAsia="Times New Roman" w:cs="Times New Roman"/>
          <w:sz w:val="24"/>
          <w:szCs w:val="24"/>
        </w:rPr>
        <w:t xml:space="preserve">12) BEP, farklılaştırılmış uygulama, zenginleştirme ve destekleme çalışmalarında öğrencilerin mevcut performanslarının esas alınmasına; rehberlik servisi ve veli iş birliğiyle izleme yapılmasına karar verildi.</w:t>
      </w:r>
    </w:p>
    <w:p>
      <w:pPr>
        <w:jc w:val="both"/>
        <w:spacing w:after="120"/>
      </w:pPr>
      <w:r>
        <w:rPr>
          <w:rFonts w:ascii="Times New Roman" w:hAnsi="Times New Roman" w:eastAsia="Times New Roman" w:cs="Times New Roman"/>
          <w:sz w:val="24"/>
          <w:szCs w:val="24"/>
        </w:rPr>
        <w:t xml:space="preserve">13) Dönem içinde en az bir ders ziyareti yapılmasına, geri dönütlerin yapıcı biçimde paylaşılmasına ve zümreler arası iş birliği fırsatlarının takvime bağlanmasına karar verildi.</w:t>
      </w:r>
    </w:p>
    <w:p>
      <w:pPr>
        <w:jc w:val="both"/>
        <w:spacing w:after="120"/>
      </w:pPr>
      <w:r>
        <w:rPr>
          <w:rFonts w:ascii="Times New Roman" w:hAnsi="Times New Roman" w:eastAsia="Times New Roman" w:cs="Times New Roman"/>
          <w:sz w:val="24"/>
          <w:szCs w:val="24"/>
        </w:rPr>
        <w:t xml:space="preserve">14) Fizik alanındaki akademik, bilimsel ve teknolojik gelişmelerin güvenilir kaynaklar üzerinden izlenmesine, öğrenci düzeyine uygun olanların ders uygulamalarında kullanılmasına karar verildi.</w:t>
      </w:r>
    </w:p>
    <w:p>
      <w:pPr>
        <w:jc w:val="both"/>
        <w:spacing w:after="120"/>
      </w:pPr>
      <w:r>
        <w:rPr>
          <w:rFonts w:ascii="Times New Roman" w:hAnsi="Times New Roman" w:eastAsia="Times New Roman" w:cs="Times New Roman"/>
          <w:sz w:val="24"/>
          <w:szCs w:val="24"/>
        </w:rPr>
        <w:t xml:space="preserve">15) Fizik dersi için gerekli ders araç gereçleri, öğretim materyalleri, bilişim araçları ve eğitim ortamlarının dönem başında belirlenmesine; ortak kullanılacak kaynakların zümre içinde paylaşılmasına karar verildi.</w:t>
      </w:r>
    </w:p>
    <w:p>
      <w:pPr>
        <w:jc w:val="both"/>
        <w:spacing w:after="120"/>
      </w:pPr>
      <w:r>
        <w:rPr>
          <w:rFonts w:ascii="Times New Roman" w:hAnsi="Times New Roman" w:eastAsia="Times New Roman" w:cs="Times New Roman"/>
          <w:sz w:val="24"/>
          <w:szCs w:val="24"/>
        </w:rPr>
        <w:t xml:space="preserve">16) Okul ve çevre imkânlarına dayalı gezi, gözlem, deney, araştırma, anket, proje ve okul dışı öğrenme çalışmalarının ders kazanımları, güvenlik ve izin süreçleri dikkate alınarak planlanmasına karar verildi.</w:t>
      </w:r>
    </w:p>
    <w:p>
      <w:pPr>
        <w:jc w:val="both"/>
        <w:spacing w:after="120"/>
      </w:pPr>
      <w:r>
        <w:rPr>
          <w:rFonts w:ascii="Times New Roman" w:hAnsi="Times New Roman" w:eastAsia="Times New Roman" w:cs="Times New Roman"/>
          <w:sz w:val="24"/>
          <w:szCs w:val="24"/>
        </w:rPr>
        <w:t xml:space="preserve">17) Ortak yazılı ve uygulamalı sınavlar ile dönem sonu değerlendirmelerinde elde edilen sonuçların analiz edilmesine, kazanım eksikleri için izleme ve destekleme eylem planı hazırlanmasına karar verildi.</w:t>
      </w:r>
    </w:p>
    <w:p>
      <w:pPr>
        <w:jc w:val="both"/>
        <w:spacing w:after="120"/>
      </w:pPr>
      <w:r>
        <w:rPr>
          <w:rFonts w:ascii="Times New Roman" w:hAnsi="Times New Roman" w:eastAsia="Times New Roman" w:cs="Times New Roman"/>
          <w:sz w:val="24"/>
          <w:szCs w:val="24"/>
        </w:rPr>
        <w:t xml:space="preserve">18) Ülke, il, ilçe ve okul geneli ortak sınavlar ile mazeret sınavlarında konu soru dağılım tablolarına uyulmasına, değerlendirme işlemlerinin ortak ölçütlerle yürütülmesine karar verildi.</w:t>
      </w:r>
    </w:p>
    <w:p>
      <w:pPr>
        <w:jc w:val="both"/>
        <w:spacing w:after="120"/>
      </w:pPr>
      <w:r>
        <w:rPr>
          <w:rFonts w:ascii="Times New Roman" w:hAnsi="Times New Roman" w:eastAsia="Times New Roman" w:cs="Times New Roman"/>
          <w:sz w:val="24"/>
          <w:szCs w:val="24"/>
        </w:rPr>
        <w:t xml:space="preserve">19) Ölçme ve değerlendirme sürecinde soru, cevap anahtarı, dereceli puanlama anahtarı ve beceri sınavı hazırlıklarının önceden hazırlanmasına, ölçütlerin öğrencilere açık ve anlaşılır biçimde duyurulmasına karar verildi.</w:t>
      </w:r>
    </w:p>
    <w:p>
      <w:pPr>
        <w:jc w:val="both"/>
        <w:spacing w:after="120"/>
      </w:pPr>
      <w:r>
        <w:rPr>
          <w:rFonts w:ascii="Times New Roman" w:hAnsi="Times New Roman" w:eastAsia="Times New Roman" w:cs="Times New Roman"/>
          <w:sz w:val="24"/>
          <w:szCs w:val="24"/>
        </w:rPr>
        <w:t xml:space="preserve">20) Ulusal ve uluslararası sınav, yarışma, proje ve etkinlik sonuçlarının okul verileriyle birlikte değerlendirilmesine, öğrencilerin ilgi ve yeteneklerine uygun etkinliklere yönlendirilmesine karar verildi.</w:t>
      </w:r>
    </w:p>
    <w:p>
      <w:pPr>
        <w:jc w:val="both"/>
        <w:spacing w:after="120"/>
      </w:pPr>
      <w:r>
        <w:rPr>
          <w:rFonts w:ascii="Times New Roman" w:hAnsi="Times New Roman" w:eastAsia="Times New Roman" w:cs="Times New Roman"/>
          <w:sz w:val="24"/>
          <w:szCs w:val="24"/>
        </w:rPr>
        <w:t xml:space="preserve">21) Girişimcilik, araştırma, geliştirme ve tasarım becerilerini destekleyen görevlerin dönem planına alınmasına, öğrencilerin süreç ve ürünlerinin uygun araçlarla izlenmesine karar verildi.</w:t>
      </w:r>
    </w:p>
    <w:p>
      <w:pPr>
        <w:jc w:val="both"/>
        <w:spacing w:after="120"/>
      </w:pPr>
      <w:r>
        <w:rPr>
          <w:rFonts w:ascii="Times New Roman" w:hAnsi="Times New Roman" w:eastAsia="Times New Roman" w:cs="Times New Roman"/>
          <w:sz w:val="24"/>
          <w:szCs w:val="24"/>
        </w:rPr>
        <w:t xml:space="preserve">22) Proje, performans ve ürün çalışmalarının öğretim programı, okul ve çevre şartları dikkate alınarak belirlenmesine; değerlendirme ölçütlerinin çalışma öncesinde açıklanmasına karar verildi.</w:t>
      </w:r>
    </w:p>
    <w:p>
      <w:pPr>
        <w:jc w:val="both"/>
        <w:spacing w:after="120"/>
      </w:pPr>
      <w:r>
        <w:rPr>
          <w:rFonts w:ascii="Times New Roman" w:hAnsi="Times New Roman" w:eastAsia="Times New Roman" w:cs="Times New Roman"/>
          <w:sz w:val="24"/>
          <w:szCs w:val="24"/>
        </w:rPr>
        <w:t xml:space="preserve">23) İş sağlığı ve güvenliği tedbirlerinin sınıf, laboratuvar, atölye, spor alanı ve okul dışı etkinlikler için önceden belirlenmesine; öğrencilerin uygulama öncesinde güvenlik yönergeleriyle bilgilendirilmesine karar verildi.</w:t>
      </w:r>
    </w:p>
    <w:p>
      <w:pPr>
        <w:jc w:val="both"/>
        <w:spacing w:after="120"/>
      </w:pPr>
      <w:r>
        <w:rPr>
          <w:rFonts w:ascii="Times New Roman" w:hAnsi="Times New Roman" w:eastAsia="Times New Roman" w:cs="Times New Roman"/>
          <w:sz w:val="24"/>
          <w:szCs w:val="24"/>
        </w:rPr>
        <w:t xml:space="preserve">24) Üst düzey düşünme, problem çözme, karar verme, sosyal ve duygusal becerileri destekleyen etkinliklere ders planlarında yer verilmesine karar verildi.</w:t>
      </w:r>
    </w:p>
    <w:p>
      <w:pPr>
        <w:jc w:val="both"/>
        <w:spacing w:after="120"/>
      </w:pPr>
      <w:r>
        <w:rPr>
          <w:rFonts w:ascii="Times New Roman" w:hAnsi="Times New Roman" w:eastAsia="Times New Roman" w:cs="Times New Roman"/>
          <w:sz w:val="24"/>
          <w:szCs w:val="24"/>
        </w:rPr>
        <w:t xml:space="preserve">25) Millî, manevi ve ahlaki değerlerin ders içeriği, sınıf içi etkileşim ve okulun değerler eğitimi çalışmalarıyla uyumlu biçimde yürütülmesine karar verildi.</w:t>
      </w:r>
    </w:p>
    <w:p>
      <w:pPr>
        <w:jc w:val="both"/>
        <w:spacing w:after="120"/>
      </w:pPr>
      <w:r>
        <w:rPr>
          <w:rFonts w:ascii="Times New Roman" w:hAnsi="Times New Roman" w:eastAsia="Times New Roman" w:cs="Times New Roman"/>
          <w:sz w:val="24"/>
          <w:szCs w:val="24"/>
        </w:rPr>
        <w:t xml:space="preserve">26) Önleme, müdahale ve yönlendirme çalışmalarında devamsızlık, uyum, davranış ve akademik risklerin erken izlenmesine; gerekli durumlarda rehberlik servisi, okul idaresi ve veliyle iş birliği yapılmasına karar verildi.</w:t>
      </w:r>
    </w:p>
    <w:p>
      <w:pPr>
        <w:jc w:val="both"/>
        <w:spacing w:after="120"/>
      </w:pPr>
      <w:r>
        <w:rPr>
          <w:rFonts w:ascii="Times New Roman" w:hAnsi="Times New Roman" w:eastAsia="Times New Roman" w:cs="Times New Roman"/>
          <w:sz w:val="24"/>
          <w:szCs w:val="24"/>
        </w:rPr>
        <w:t xml:space="preserve">27) Fizik dersiyle ilişkilendirilebilecek disiplinler arası çalışmaların amaç, zaman ve görev paylaşımı belirlenerek planlanmasına karar verildi.</w:t>
      </w:r>
    </w:p>
    <w:p>
      <w:pPr>
        <w:jc w:val="both"/>
        <w:spacing w:after="120"/>
      </w:pPr>
      <w:r>
        <w:rPr>
          <w:rFonts w:ascii="Times New Roman" w:hAnsi="Times New Roman" w:eastAsia="Times New Roman" w:cs="Times New Roman"/>
          <w:sz w:val="24"/>
          <w:szCs w:val="24"/>
        </w:rPr>
        <w:t xml:space="preserve">28) Bilimsel okuryazarlık, veri okuryazarlığı ve teknoloji okuryazarlığı becerileri ile öğrencilerin bedensel, zihinsel, duygusal, sosyal ve ahlaki gelişimini destekleyen çalışmaların ders planlarına yansıtılmasına karar verildi.</w:t>
      </w:r>
    </w:p>
    <w:p>
      <w:pPr>
        <w:jc w:val="both"/>
        <w:spacing w:after="120"/>
      </w:pPr>
      <w:r>
        <w:rPr>
          <w:rFonts w:ascii="Times New Roman" w:hAnsi="Times New Roman" w:eastAsia="Times New Roman" w:cs="Times New Roman"/>
          <w:sz w:val="24"/>
          <w:szCs w:val="24"/>
        </w:rPr>
        <w:t xml:space="preserve">29) Sosyal sorumluluk faaliyetlerinin ders kazanımları, değerler eğitimi, öğrenci güvenliği ve okulun genel planı dikkate alınarak yürütülmesine karar verildi.</w:t>
      </w:r>
    </w:p>
    <w:p>
      <w:pPr>
        <w:jc w:val="both"/>
        <w:spacing w:after="120"/>
      </w:pPr>
      <w:r>
        <w:rPr>
          <w:rFonts w:ascii="Times New Roman" w:hAnsi="Times New Roman" w:eastAsia="Times New Roman" w:cs="Times New Roman"/>
          <w:sz w:val="24"/>
          <w:szCs w:val="24"/>
        </w:rPr>
        <w:t xml:space="preserve">30) Başarıyı artırmak amacıyla öğrenci hazırbulunuşluğu, ders içi katılım, ölçme sonuçları ve kazanım eksiklerinin düzenli izlenmesine; gerekli destek çalışmalarının planlanmasına karar verildi.</w:t>
      </w:r>
    </w:p>
    <w:p>
      <w:pPr>
        <w:jc w:val="both"/>
        <w:spacing w:after="120"/>
      </w:pPr>
      <w:r>
        <w:rPr>
          <w:rFonts w:ascii="Times New Roman" w:hAnsi="Times New Roman" w:eastAsia="Times New Roman" w:cs="Times New Roman"/>
          <w:sz w:val="24"/>
          <w:szCs w:val="24"/>
        </w:rPr>
        <w:t xml:space="preserve">31) Fizik dersinde bilimsel okuryazarlık, veri yorumlama, modelleme ve problem çözme çalışmalarının sınıf düzeylerine göre planlanmasına, öğrenci ürünleri ve kısa değerlendirme notlarıyla izlenmesine karar verildi.</w:t>
      </w:r>
    </w:p>
    <w:p>
      <w:pPr>
        <w:jc w:val="both"/>
        <w:spacing w:after="120"/>
      </w:pPr>
      <w:r>
        <w:rPr>
          <w:rFonts w:ascii="Times New Roman" w:hAnsi="Times New Roman" w:eastAsia="Times New Roman" w:cs="Times New Roman"/>
          <w:sz w:val="24"/>
          <w:szCs w:val="24"/>
        </w:rPr>
        <w:t xml:space="preserve">32) Okul içi ve okul dışı faaliyetler için gerekli araç, gereç, mali kaynak ve diğer hazırlıkların dönem başında listelenmesine, ihtiyaçların okul idaresine zamanında bildirilmesine karar verildi.</w:t>
      </w:r>
    </w:p>
    <w:p>
      <w:pPr>
        <w:jc w:val="both"/>
        <w:spacing w:after="120"/>
      </w:pPr>
      <w:r>
        <w:rPr>
          <w:rFonts w:ascii="Times New Roman" w:hAnsi="Times New Roman" w:eastAsia="Times New Roman" w:cs="Times New Roman"/>
          <w:sz w:val="24"/>
          <w:szCs w:val="24"/>
        </w:rPr>
        <w:t xml:space="preserve">33) Öğrenci devamsızlıklarının düzenli izlenmesine, devamsızlığa bağlı öğrenme eksikleri için veli bilgilendirmesi, rehberlik iş birliği ve telafi çalışmaları yapılmasına karar verildi.</w:t>
      </w:r>
    </w:p>
    <w:p>
      <w:pPr>
        <w:jc w:val="both"/>
        <w:spacing w:after="120"/>
      </w:pPr>
      <w:r>
        <w:rPr>
          <w:rFonts w:ascii="Times New Roman" w:hAnsi="Times New Roman" w:eastAsia="Times New Roman" w:cs="Times New Roman"/>
          <w:sz w:val="24"/>
          <w:szCs w:val="24"/>
        </w:rPr>
        <w:t xml:space="preserve">34) Dilek ve temenniler bölümünde paylaşılan uygulanabilir önerilerin zümre çalışmaları, materyal paylaşımı ve dönem içi iş birliği süreçlerinde dikkate alınmasına karar verildi.</w:t>
      </w:r>
    </w:p>
    <w:p>
      <w:pPr>
        <w:jc w:val="both"/>
        <w:spacing w:after="120"/>
      </w:pPr>
      <w:r>
        <w:rPr>
          <w:rFonts w:ascii="Times New Roman" w:hAnsi="Times New Roman" w:eastAsia="Times New Roman" w:cs="Times New Roman"/>
          <w:sz w:val="24"/>
          <w:szCs w:val="24"/>
        </w:rPr>
        <w:t xml:space="preserve">35) Toplantıda alınan kararların zümre dosyasına işlenmesine, uygulama sürecinin dönem içinde izlenmesine ve gerekli görülen başlıkların sonraki toplantılarda yeniden değerlendirilmesine karar verildi.</w:t>
      </w:r>
    </w:p>
    <w:p/>
    <w:p>
      <w:pPr>
        <w:jc w:val="center"/>
        <w:spacing w:before="120" w:after="160"/>
      </w:pPr>
      <w:r>
        <w:rPr>
          <w:rFonts w:ascii="Times New Roman" w:hAnsi="Times New Roman" w:eastAsia="Times New Roman" w:cs="Times New Roman"/>
          <w:sz w:val="26"/>
          <w:szCs w:val="26"/>
          <w:b w:val="1"/>
          <w:bCs w:val="1"/>
        </w:rPr>
        <w:t xml:space="preserve">TOPLANTIYA KATILANLAR</w:t>
      </w:r>
    </w:p>
    <w:tbl>
      <w:tblGrid>
        <w:gridCol w:w="700" w:type="dxa"/>
        <w:gridCol w:w="4500" w:type="dxa"/>
        <w:gridCol w:w="3500" w:type="dxa"/>
        <w:gridCol w:w="2200" w:type="dxa"/>
      </w:tblGrid>
      <w:tblPr>
        <w:tblStyle w:val="ZumreTable"/>
      </w:tblPr>
      <w:tr>
        <w:trPr/>
        <w:tc>
          <w:tcPr>
            <w:tcW w:w="700" w:type="dxa"/>
            <w:noWrap/>
          </w:tcPr>
          <w:p>
            <w:pPr>
              <w:jc w:val="center"/>
            </w:pPr>
            <w:r>
              <w:rPr>
                <w:rFonts w:ascii="Times New Roman" w:hAnsi="Times New Roman" w:eastAsia="Times New Roman" w:cs="Times New Roman"/>
                <w:sz w:val="24"/>
                <w:szCs w:val="24"/>
                <w:b w:val="1"/>
                <w:bCs w:val="1"/>
              </w:rPr>
              <w:t xml:space="preserve">Sıra</w:t>
            </w:r>
          </w:p>
        </w:tc>
        <w:tc>
          <w:tcPr>
            <w:tcW w:w="4500" w:type="dxa"/>
            <w:noWrap/>
          </w:tcPr>
          <w:p>
            <w:pPr>
              <w:jc w:val="center"/>
            </w:pPr>
            <w:r>
              <w:rPr>
                <w:rFonts w:ascii="Times New Roman" w:hAnsi="Times New Roman" w:eastAsia="Times New Roman" w:cs="Times New Roman"/>
                <w:sz w:val="24"/>
                <w:szCs w:val="24"/>
                <w:b w:val="1"/>
                <w:bCs w:val="1"/>
              </w:rPr>
              <w:t xml:space="preserve">Adı Soyadı</w:t>
            </w:r>
          </w:p>
        </w:tc>
        <w:tc>
          <w:tcPr>
            <w:tcW w:w="3500" w:type="dxa"/>
            <w:noWrap/>
          </w:tcPr>
          <w:p>
            <w:pPr>
              <w:jc w:val="center"/>
            </w:pPr>
            <w:r>
              <w:rPr>
                <w:rFonts w:ascii="Times New Roman" w:hAnsi="Times New Roman" w:eastAsia="Times New Roman" w:cs="Times New Roman"/>
                <w:sz w:val="24"/>
                <w:szCs w:val="24"/>
                <w:b w:val="1"/>
                <w:bCs w:val="1"/>
              </w:rPr>
              <w:t xml:space="preserve">Görevi</w:t>
            </w:r>
          </w:p>
        </w:tc>
        <w:tc>
          <w:tcPr>
            <w:tcW w:w="2200" w:type="dxa"/>
            <w:noWrap/>
          </w:tcPr>
          <w:p>
            <w:pPr>
              <w:jc w:val="center"/>
            </w:pPr>
            <w:r>
              <w:rPr>
                <w:rFonts w:ascii="Times New Roman" w:hAnsi="Times New Roman" w:eastAsia="Times New Roman" w:cs="Times New Roman"/>
                <w:sz w:val="24"/>
                <w:szCs w:val="24"/>
                <w:b w:val="1"/>
                <w:bCs w:val="1"/>
              </w:rPr>
              <w:t xml:space="preserve">İmza</w:t>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1</w:t>
            </w:r>
          </w:p>
        </w:tc>
        <w:tc>
          <w:tcPr>
            <w:tcW w:w="4500" w:type="dxa"/>
            <w:noWrap/>
          </w:tcPr>
          <w:p>
            <w:pPr>
              <w:jc w:val="left"/>
            </w:pPr>
            <w:r>
              <w:rPr>
                <w:rFonts w:ascii="Times New Roman" w:hAnsi="Times New Roman" w:eastAsia="Times New Roman" w:cs="Times New Roman"/>
                <w:sz w:val="24"/>
                <w:szCs w:val="24"/>
                <w:b w:val="1"/>
                <w:bCs w:val="1"/>
              </w:rPr>
              <w:t xml:space="preserve">Öğretmen1</w:t>
            </w:r>
          </w:p>
        </w:tc>
        <w:tc>
          <w:tcPr>
            <w:tcW w:w="3500" w:type="dxa"/>
            <w:noWrap/>
          </w:tcPr>
          <w:p>
            <w:pPr>
              <w:jc w:val="left"/>
            </w:pPr>
            <w:r>
              <w:rPr>
                <w:rFonts w:ascii="Times New Roman" w:hAnsi="Times New Roman" w:eastAsia="Times New Roman" w:cs="Times New Roman"/>
                <w:sz w:val="24"/>
                <w:szCs w:val="24"/>
              </w:rPr>
              <w:t xml:space="preserve">Zümre Başkanı</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2</w:t>
            </w:r>
          </w:p>
        </w:tc>
        <w:tc>
          <w:tcPr>
            <w:tcW w:w="4500" w:type="dxa"/>
            <w:noWrap/>
          </w:tcPr>
          <w:p>
            <w:pPr>
              <w:jc w:val="left"/>
            </w:pPr>
            <w:r>
              <w:rPr>
                <w:rFonts w:ascii="Times New Roman" w:hAnsi="Times New Roman" w:eastAsia="Times New Roman" w:cs="Times New Roman"/>
                <w:sz w:val="24"/>
                <w:szCs w:val="24"/>
                <w:b w:val="1"/>
                <w:bCs w:val="1"/>
              </w:rPr>
              <w:t xml:space="preserve">Öğretmen2</w:t>
            </w:r>
          </w:p>
        </w:tc>
        <w:tc>
          <w:tcPr>
            <w:tcW w:w="3500" w:type="dxa"/>
            <w:noWrap/>
          </w:tcPr>
          <w:p>
            <w:pPr>
              <w:jc w:val="left"/>
            </w:pPr>
            <w:r>
              <w:rPr>
                <w:rFonts w:ascii="Times New Roman" w:hAnsi="Times New Roman" w:eastAsia="Times New Roman" w:cs="Times New Roman"/>
                <w:sz w:val="24"/>
                <w:szCs w:val="24"/>
              </w:rPr>
              <w:t xml:space="preserve">Zümre Öğretmeni</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3</w:t>
            </w:r>
          </w:p>
        </w:tc>
        <w:tc>
          <w:tcPr>
            <w:tcW w:w="4500" w:type="dxa"/>
            <w:noWrap/>
          </w:tcPr>
          <w:p>
            <w:pPr>
              <w:jc w:val="left"/>
            </w:pPr>
            <w:r>
              <w:rPr>
                <w:rFonts w:ascii="Times New Roman" w:hAnsi="Times New Roman" w:eastAsia="Times New Roman" w:cs="Times New Roman"/>
                <w:sz w:val="24"/>
                <w:szCs w:val="24"/>
                <w:b w:val="1"/>
                <w:bCs w:val="1"/>
              </w:rPr>
              <w:t xml:space="preserve">Öğretmen3</w:t>
            </w:r>
          </w:p>
        </w:tc>
        <w:tc>
          <w:tcPr>
            <w:tcW w:w="3500" w:type="dxa"/>
            <w:noWrap/>
          </w:tcPr>
          <w:p>
            <w:pPr>
              <w:jc w:val="left"/>
            </w:pPr>
            <w:r>
              <w:rPr>
                <w:rFonts w:ascii="Times New Roman" w:hAnsi="Times New Roman" w:eastAsia="Times New Roman" w:cs="Times New Roman"/>
                <w:sz w:val="24"/>
                <w:szCs w:val="24"/>
              </w:rPr>
              <w:t xml:space="preserve">Zümre Öğretmeni</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4</w:t>
            </w:r>
          </w:p>
        </w:tc>
        <w:tc>
          <w:tcPr>
            <w:tcW w:w="4500" w:type="dxa"/>
            <w:noWrap/>
          </w:tcPr>
          <w:p>
            <w:pPr>
              <w:jc w:val="left"/>
            </w:pPr>
            <w:r>
              <w:rPr>
                <w:rFonts w:ascii="Times New Roman" w:hAnsi="Times New Roman" w:eastAsia="Times New Roman" w:cs="Times New Roman"/>
                <w:sz w:val="24"/>
                <w:szCs w:val="24"/>
                <w:b w:val="1"/>
                <w:bCs w:val="1"/>
              </w:rPr>
              <w:t xml:space="preserve">Öğretmen4</w:t>
            </w:r>
          </w:p>
        </w:tc>
        <w:tc>
          <w:tcPr>
            <w:tcW w:w="3500" w:type="dxa"/>
            <w:noWrap/>
          </w:tcPr>
          <w:p>
            <w:pPr>
              <w:jc w:val="left"/>
            </w:pPr>
            <w:r>
              <w:rPr>
                <w:rFonts w:ascii="Times New Roman" w:hAnsi="Times New Roman" w:eastAsia="Times New Roman" w:cs="Times New Roman"/>
                <w:sz w:val="24"/>
                <w:szCs w:val="24"/>
              </w:rPr>
              <w:t xml:space="preserve">Zümre Öğretmeni</w:t>
            </w:r>
          </w:p>
        </w:tc>
        <w:tc>
          <w:tcPr>
            <w:tcW w:w="2200" w:type="dxa"/>
            <w:noWrap/>
          </w:tcPr>
          <w:p>
            <w:pPr/>
            <w:r>
              <w:rPr>
                <w:rFonts w:ascii="Times New Roman" w:hAnsi="Times New Roman" w:eastAsia="Times New Roman" w:cs="Times New Roman"/>
                <w:sz w:val="24"/>
                <w:szCs w:val="24"/>
              </w:rPr>
              <w:t xml:space="preserve"/>
            </w:r>
          </w:p>
        </w:tc>
      </w:tr>
    </w:tbl>
    <w:p/>
    <w:p/>
    <w:p/>
    <w:p/>
    <w:p/>
    <w:tbl>
      <w:tblGrid>
        <w:gridCol w:w="5500" w:type="dxa"/>
        <w:gridCol w:w="5500" w:type="dxa"/>
      </w:tblGrid>
      <w:tblPr>
        <w:tblStyle w:val="NoBorder"/>
      </w:tblPr>
      <w:tr>
        <w:trPr/>
        <w:tc>
          <w:tcPr>
            <w:tcW w:w="5500" w:type="dxa"/>
            <w:noWrap/>
          </w:tcPr>
          <w:p>
            <w:pPr>
              <w:jc w:val="center"/>
              <w:spacing w:after="0"/>
            </w:pPr>
            <w:r>
              <w:rPr>
                <w:rFonts w:ascii="Times New Roman" w:hAnsi="Times New Roman" w:eastAsia="Times New Roman" w:cs="Times New Roman"/>
                <w:sz w:val="24"/>
                <w:szCs w:val="24"/>
                <w:b w:val="1"/>
                <w:bCs w:val="1"/>
              </w:rPr>
              <w:t xml:space="preserve">Öğretmen1</w:t>
            </w:r>
          </w:p>
          <w:p>
            <w:pPr>
              <w:jc w:val="center"/>
              <w:spacing w:after="0"/>
            </w:pPr>
            <w:r>
              <w:rPr>
                <w:rFonts w:ascii="Times New Roman" w:hAnsi="Times New Roman" w:eastAsia="Times New Roman" w:cs="Times New Roman"/>
                <w:sz w:val="24"/>
                <w:szCs w:val="24"/>
              </w:rPr>
              <w:t xml:space="preserve">Zümre Başkanı</w:t>
            </w:r>
          </w:p>
        </w:tc>
        <w:tc>
          <w:tcPr>
            <w:tcW w:w="5500" w:type="dxa"/>
            <w:noWrap/>
          </w:tcPr>
          <w:p>
            <w:pPr>
              <w:jc w:val="center"/>
              <w:spacing w:after="0"/>
            </w:pPr>
            <w:r>
              <w:rPr>
                <w:rFonts w:ascii="Times New Roman" w:hAnsi="Times New Roman" w:eastAsia="Times New Roman" w:cs="Times New Roman"/>
                <w:sz w:val="24"/>
                <w:szCs w:val="24"/>
                <w:b w:val="1"/>
                <w:bCs w:val="1"/>
              </w:rPr>
              <w:t xml:space="preserve"/>
            </w:r>
          </w:p>
          <w:p>
            <w:pPr>
              <w:jc w:val="center"/>
              <w:spacing w:after="0"/>
            </w:pPr>
            <w:r>
              <w:rPr>
                <w:rFonts w:ascii="Times New Roman" w:hAnsi="Times New Roman" w:eastAsia="Times New Roman" w:cs="Times New Roman"/>
                <w:sz w:val="24"/>
                <w:szCs w:val="24"/>
              </w:rPr>
              <w:t xml:space="preserve">Müdür Yardımcısı</w:t>
            </w:r>
          </w:p>
        </w:tc>
      </w:tr>
    </w:tbl>
    <w:p/>
    <w:p>
      <w:pPr>
        <w:jc w:val="center"/>
        <w:spacing w:after="80"/>
      </w:pPr>
      <w:r>
        <w:rPr>
          <w:rFonts w:ascii="Times New Roman" w:hAnsi="Times New Roman" w:eastAsia="Times New Roman" w:cs="Times New Roman"/>
          <w:sz w:val="24"/>
          <w:szCs w:val="24"/>
        </w:rPr>
        <w:t xml:space="preserve">Uygundur.</w:t>
      </w:r>
    </w:p>
    <w:p>
      <w:pPr>
        <w:jc w:val="center"/>
        <w:spacing w:after="0"/>
      </w:pPr>
      <w:r>
        <w:rPr>
          <w:rFonts w:ascii="Times New Roman" w:hAnsi="Times New Roman" w:eastAsia="Times New Roman" w:cs="Times New Roman"/>
          <w:sz w:val="24"/>
          <w:szCs w:val="24"/>
          <w:b w:val="1"/>
          <w:bCs w:val="1"/>
        </w:rPr>
        <w:t xml:space="preserve"/>
      </w:r>
    </w:p>
    <w:p>
      <w:pPr>
        <w:jc w:val="center"/>
        <w:spacing w:after="0"/>
      </w:pPr>
      <w:r>
        <w:rPr>
          <w:rFonts w:ascii="Times New Roman" w:hAnsi="Times New Roman" w:eastAsia="Times New Roman" w:cs="Times New Roman"/>
          <w:sz w:val="24"/>
          <w:szCs w:val="24"/>
        </w:rPr>
        <w:t xml:space="preserve">Okul Müdürü</w:t>
      </w:r>
    </w:p>
    <w:sectPr>
      <w:pgSz w:orient="portrait" w:w="11905.511811023621703498065471649169921875" w:h="16837.7952755905498634092509746551513671875"/>
      <w:pgMar w:top="1134" w:right="794" w:bottom="1134" w:left="794"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Times New Roman" w:hAnsi="Times New Roman" w:eastAsia="Arial" w:cs="Times New Roman"/>
        <w:color w:val="000000"/>
        <w:sz w:val="24"/>
        <w:szCs w:val="24"/>
        <w:lang w:val="en-US"/>
      </w:rPr>
    </w:rPrDefault>
  </w:docDefaults>
  <w:style w:type="paragraph" w:default="1" w:styleId="Normal">
    <w:name w:val="Normal"/>
  </w:style>
  <w:style w:type="character" w:styleId="FootnoteReference">
    <w:name w:val="Footnote Reference"/>
    <w:semiHidden/>
    <w:unhideWhenUsed/>
    <w:rPr>
      <w:vertAlign w:val="superscript"/>
    </w:rPr>
  </w:style>
  <w:style w:type="table" w:customStyle="1" w:styleId="ZumreTable">
    <w:name w:val="ZumreTable"/>
    <w:uiPriority w:val="99"/>
    <w:tblPr>
      <w:tblW w:w="0" w:type="auto"/>
      <w:tblLayout w:type="autofit"/>
      <w:tblCellMar>
        <w:top w:w="90" w:type="dxa"/>
        <w:left w:w="90" w:type="dxa"/>
        <w:right w:w="90" w:type="dxa"/>
        <w:bottom w:w="90" w:type="dxa"/>
      </w:tblCellMar>
      <w:tblBorders>
        <w:top w:val="single" w:sz="6" w:color="000000"/>
        <w:left w:val="single" w:sz="6" w:color="000000"/>
        <w:right w:val="single" w:sz="6" w:color="000000"/>
        <w:bottom w:val="single" w:sz="6" w:color="000000"/>
        <w:insideH w:val="single" w:sz="6" w:color="000000"/>
        <w:insideV w:val="single" w:sz="6" w:color="000000"/>
      </w:tblBorders>
    </w:tblPr>
    <w:tblStylePr w:type="firstRow">
      <w:tcPr/>
    </w:tblStylePr>
  </w:style>
  <w:style w:type="table" w:customStyle="1" w:styleId="NoBorder">
    <w:name w:val="NoBorder"/>
    <w:uiPriority w:val="99"/>
    <w:tblPr>
      <w:tblW w:w="0" w:type="auto"/>
      <w:tblLayout w:type="autofit"/>
      <w:tblCellMar>
        <w:top w:w="90" w:type="dxa"/>
        <w:left w:w="90" w:type="dxa"/>
        <w:right w:w="90" w:type="dxa"/>
        <w:bottom w:w="90" w:type="dxa"/>
      </w:tblCellMar>
      <w:tblBorders>
        <w:top w:val="single" w:sz="0"/>
        <w:left w:val="single" w:sz="0"/>
        <w:right w:val="single" w:sz="0"/>
        <w:bottom w:val="single" w:sz="0"/>
        <w:insideH w:val="single" w:sz="0"/>
        <w:insideV w:val="single" w:sz="0"/>
      </w:tblBorders>
    </w:tblPr>
    <w:tblStylePr w:type="firstRow">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2026-09-04T21:26:02+03:00</dcterms:created>
  <dcterms:modified xsi:type="dcterms:W3CDTF">2026-09-04T21:26:02+03:00</dcterms:modified>
</cp:coreProperties>
</file>

<file path=docProps/custom.xml><?xml version="1.0" encoding="utf-8"?>
<Properties xmlns="http://schemas.openxmlformats.org/officeDocument/2006/custom-properties" xmlns:vt="http://schemas.openxmlformats.org/officeDocument/2006/docPropsVTypes"/>
</file>