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2025-2026 EĞİTİM-ÖĞRETİM YILI</w:t>
      </w:r>
    </w:p>
    <w:p>
      <w:pPr>
        <w:jc w:val="center"/>
        <w:spacing w:after="120"/>
      </w:pPr>
      <w:r>
        <w:rPr>
          <w:rFonts w:ascii="Times New Roman" w:hAnsi="Times New Roman" w:eastAsia="Times New Roman" w:cs="Times New Roman"/>
          <w:sz w:val="26"/>
          <w:szCs w:val="26"/>
          <w:b w:val="1"/>
          <w:bCs w:val="1"/>
        </w:rPr>
        <w:t xml:space="preserve">TÜRKÇE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2025-2026 Eğitim-Öğretim Yılı Türkçe Dersi Sene Başı Zümre Toplantısı 27.06.2026 tarihinde saat 15:30'te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8) Öğretim Programı, Çevre Özellikleri, Tema, Konu, Kazanım Ve Öğrenme Çıktısı Ağırlıkları, Yıllık Planlar, Ders Planları Ve Çalışma Takviminin Görüşülmesi</w:t>
      </w:r>
    </w:p>
    <w:p>
      <w:pPr>
        <w:jc w:val="left"/>
        <w:spacing w:after="100"/>
      </w:pPr>
      <w:r>
        <w:rPr>
          <w:rFonts w:ascii="Times New Roman" w:hAnsi="Times New Roman" w:eastAsia="Times New Roman" w:cs="Times New Roman"/>
          <w:sz w:val="24"/>
          <w:szCs w:val="24"/>
        </w:rPr>
        <w:t xml:space="preserve">9)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10)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11) Öğrenme Çıktıları, Etkinlikler, Öğrenme Kanıtları Ve Ölçme Değerlendirme Uygulamalarının Görüşülmesi</w:t>
      </w:r>
    </w:p>
    <w:p>
      <w:pPr>
        <w:jc w:val="left"/>
        <w:spacing w:after="100"/>
      </w:pPr>
      <w:r>
        <w:rPr>
          <w:rFonts w:ascii="Times New Roman" w:hAnsi="Times New Roman" w:eastAsia="Times New Roman" w:cs="Times New Roman"/>
          <w:sz w:val="24"/>
          <w:szCs w:val="24"/>
        </w:rPr>
        <w:t xml:space="preserve">12) Sınavların Şekli, Sayısı, Süresi Ve Değerlendirme Esaslarının Belirlenmesi</w:t>
      </w:r>
    </w:p>
    <w:p>
      <w:pPr>
        <w:jc w:val="left"/>
        <w:spacing w:after="100"/>
      </w:pPr>
      <w:r>
        <w:rPr>
          <w:rFonts w:ascii="Times New Roman" w:hAnsi="Times New Roman" w:eastAsia="Times New Roman" w:cs="Times New Roman"/>
          <w:sz w:val="24"/>
          <w:szCs w:val="24"/>
        </w:rPr>
        <w:t xml:space="preserve">13) Ülke, İl, İlçe Ve Okul Geneli Ortak Sınavlar, Mazeret Sınavları Ve Değerlendirme İşlemlerinin Görüşülmesi</w:t>
      </w:r>
    </w:p>
    <w:p>
      <w:pPr>
        <w:jc w:val="left"/>
        <w:spacing w:after="100"/>
      </w:pPr>
      <w:r>
        <w:rPr>
          <w:rFonts w:ascii="Times New Roman" w:hAnsi="Times New Roman" w:eastAsia="Times New Roman" w:cs="Times New Roman"/>
          <w:sz w:val="24"/>
          <w:szCs w:val="24"/>
        </w:rPr>
        <w:t xml:space="preserve">14) Konu Soru Dağılım Tabloları, Sınav Analizleri Ve Kazanım Eksiklerinin Değerlendirilmesi</w:t>
      </w:r>
    </w:p>
    <w:p>
      <w:pPr>
        <w:jc w:val="left"/>
        <w:spacing w:after="100"/>
      </w:pPr>
      <w:r>
        <w:rPr>
          <w:rFonts w:ascii="Times New Roman" w:hAnsi="Times New Roman" w:eastAsia="Times New Roman" w:cs="Times New Roman"/>
          <w:sz w:val="24"/>
          <w:szCs w:val="24"/>
        </w:rPr>
        <w:t xml:space="preserve">15) Soru Ve Cevap Anahtarları, Dereceli Puanlama Anahtarları, Kontrol Listeleri Ve Değerlendirme Ölçeklerinin Görüşülmesi</w:t>
      </w:r>
    </w:p>
    <w:p>
      <w:pPr>
        <w:jc w:val="left"/>
        <w:spacing w:after="100"/>
      </w:pPr>
      <w:r>
        <w:rPr>
          <w:rFonts w:ascii="Times New Roman" w:hAnsi="Times New Roman" w:eastAsia="Times New Roman" w:cs="Times New Roman"/>
          <w:sz w:val="24"/>
          <w:szCs w:val="24"/>
        </w:rPr>
        <w:t xml:space="preserve">16) Sözlü Anlatım, Uygulamalı Etkinlik Ve Ürün Değerlendirme Süreçlerinin Planlanması</w:t>
      </w:r>
    </w:p>
    <w:p>
      <w:pPr>
        <w:jc w:val="left"/>
        <w:spacing w:after="100"/>
      </w:pPr>
      <w:r>
        <w:rPr>
          <w:rFonts w:ascii="Times New Roman" w:hAnsi="Times New Roman" w:eastAsia="Times New Roman" w:cs="Times New Roman"/>
          <w:sz w:val="24"/>
          <w:szCs w:val="24"/>
        </w:rPr>
        <w:t xml:space="preserve">17) Ulusal Ve Uluslararası Sınav, Yarışma Ve Etkinlik Sonuçlarına Yönelik Değerlendirmelerin Görüşülmesi</w:t>
      </w:r>
    </w:p>
    <w:p>
      <w:pPr>
        <w:jc w:val="left"/>
        <w:spacing w:after="100"/>
      </w:pPr>
      <w:r>
        <w:rPr>
          <w:rFonts w:ascii="Times New Roman" w:hAnsi="Times New Roman" w:eastAsia="Times New Roman" w:cs="Times New Roman"/>
          <w:sz w:val="24"/>
          <w:szCs w:val="24"/>
        </w:rPr>
        <w:t xml:space="preserve">18) Lgs Kapsamındaki Sınava Hazırlık, İzleme Ve Destekleme Çalışmalarının Planlanması</w:t>
      </w:r>
    </w:p>
    <w:p>
      <w:pPr>
        <w:jc w:val="left"/>
        <w:spacing w:after="100"/>
      </w:pPr>
      <w:r>
        <w:rPr>
          <w:rFonts w:ascii="Times New Roman" w:hAnsi="Times New Roman" w:eastAsia="Times New Roman" w:cs="Times New Roman"/>
          <w:sz w:val="24"/>
          <w:szCs w:val="24"/>
        </w:rPr>
        <w:t xml:space="preserve">19) Öğrenci Başarı Durumu,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20)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21)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22) Ders Kitapları, Kaynaklar, Öğretim Materyalleri Ve Bilişim Araçlarının Değerlendirilmesi</w:t>
      </w:r>
    </w:p>
    <w:p>
      <w:pPr>
        <w:jc w:val="left"/>
        <w:spacing w:after="100"/>
      </w:pPr>
      <w:r>
        <w:rPr>
          <w:rFonts w:ascii="Times New Roman" w:hAnsi="Times New Roman" w:eastAsia="Times New Roman" w:cs="Times New Roman"/>
          <w:sz w:val="24"/>
          <w:szCs w:val="24"/>
        </w:rPr>
        <w:t xml:space="preserve">23) Laboratuvar, Kütüphane, Spor Salonu, Atölye Ve Benzeri Eğitim Ortamlarının Kullanımının Planlanması</w:t>
      </w:r>
    </w:p>
    <w:p>
      <w:pPr>
        <w:jc w:val="left"/>
        <w:spacing w:after="100"/>
      </w:pPr>
      <w:r>
        <w:rPr>
          <w:rFonts w:ascii="Times New Roman" w:hAnsi="Times New Roman" w:eastAsia="Times New Roman" w:cs="Times New Roman"/>
          <w:sz w:val="24"/>
          <w:szCs w:val="24"/>
        </w:rPr>
        <w:t xml:space="preserve">24) Okul Ve Çevre İmkânlarına Dayalı Gezi, Gözlem, Deney, Araştırma, Anket, Proje Ve Okul Dışı Öğrenme Çalışmalarının Planlanması</w:t>
      </w:r>
    </w:p>
    <w:p>
      <w:pPr>
        <w:jc w:val="left"/>
        <w:spacing w:after="100"/>
      </w:pPr>
      <w:r>
        <w:rPr>
          <w:rFonts w:ascii="Times New Roman" w:hAnsi="Times New Roman" w:eastAsia="Times New Roman" w:cs="Times New Roman"/>
          <w:sz w:val="24"/>
          <w:szCs w:val="24"/>
        </w:rPr>
        <w:t xml:space="preserve">25)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26)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27)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28)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29) Disiplinler Arası Çalışmaların Planlanması</w:t>
      </w:r>
    </w:p>
    <w:p>
      <w:pPr>
        <w:jc w:val="left"/>
        <w:spacing w:after="100"/>
      </w:pPr>
      <w:r>
        <w:rPr>
          <w:rFonts w:ascii="Times New Roman" w:hAnsi="Times New Roman" w:eastAsia="Times New Roman" w:cs="Times New Roman"/>
          <w:sz w:val="24"/>
          <w:szCs w:val="24"/>
        </w:rPr>
        <w:t xml:space="preserve">30) Çoklu Okuryazarlık, Üst Düzey Düşünme, Sosyal Ve Duygusal Becerilere Yönelik Çalışmaların Planlanması</w:t>
      </w:r>
    </w:p>
    <w:p>
      <w:pPr>
        <w:jc w:val="left"/>
        <w:spacing w:after="100"/>
      </w:pPr>
      <w:r>
        <w:rPr>
          <w:rFonts w:ascii="Times New Roman" w:hAnsi="Times New Roman" w:eastAsia="Times New Roman" w:cs="Times New Roman"/>
          <w:sz w:val="24"/>
          <w:szCs w:val="24"/>
        </w:rPr>
        <w:t xml:space="preserve">31)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32)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33)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34) Okul Aile İş Birliği Ve Veli Toplantılarının Planlanması</w:t>
      </w:r>
    </w:p>
    <w:p>
      <w:pPr>
        <w:jc w:val="left"/>
        <w:spacing w:after="100"/>
      </w:pPr>
      <w:r>
        <w:rPr>
          <w:rFonts w:ascii="Times New Roman" w:hAnsi="Times New Roman" w:eastAsia="Times New Roman" w:cs="Times New Roman"/>
          <w:sz w:val="24"/>
          <w:szCs w:val="24"/>
        </w:rPr>
        <w:t xml:space="preserve">35) Önleme, Müdahale Ve Yönlendirme Çalışmalarının Planlanması</w:t>
      </w:r>
    </w:p>
    <w:p>
      <w:pPr>
        <w:jc w:val="left"/>
        <w:spacing w:after="100"/>
      </w:pPr>
      <w:r>
        <w:rPr>
          <w:rFonts w:ascii="Times New Roman" w:hAnsi="Times New Roman" w:eastAsia="Times New Roman" w:cs="Times New Roman"/>
          <w:sz w:val="24"/>
          <w:szCs w:val="24"/>
        </w:rPr>
        <w:t xml:space="preserve">36)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37) İş Sağlığı Ve Güvenliği Tedbirlerinin Değerlendirilmesi</w:t>
      </w:r>
    </w:p>
    <w:p>
      <w:pPr>
        <w:jc w:val="left"/>
        <w:spacing w:after="100"/>
      </w:pPr>
      <w:r>
        <w:rPr>
          <w:rFonts w:ascii="Times New Roman" w:hAnsi="Times New Roman" w:eastAsia="Times New Roman" w:cs="Times New Roman"/>
          <w:sz w:val="24"/>
          <w:szCs w:val="24"/>
        </w:rPr>
        <w:t xml:space="preserve">38) Dilek Ve Temenniler</w:t>
      </w:r>
    </w:p>
    <w:p>
      <w:pPr>
        <w:jc w:val="left"/>
        <w:spacing w:after="100"/>
      </w:pPr>
      <w:r>
        <w:rPr>
          <w:rFonts w:ascii="Times New Roman" w:hAnsi="Times New Roman" w:eastAsia="Times New Roman" w:cs="Times New Roman"/>
          <w:sz w:val="24"/>
          <w:szCs w:val="24"/>
        </w:rPr>
        <w:t xml:space="preserve">39)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2025-2026 EĞİTİM-ÖĞRETİM YILI</w:t>
      </w:r>
    </w:p>
    <w:p>
      <w:pPr>
        <w:jc w:val="center"/>
        <w:spacing w:after="120"/>
      </w:pPr>
      <w:r>
        <w:rPr>
          <w:rFonts w:ascii="Times New Roman" w:hAnsi="Times New Roman" w:eastAsia="Times New Roman" w:cs="Times New Roman"/>
          <w:sz w:val="26"/>
          <w:szCs w:val="26"/>
          <w:b w:val="1"/>
          <w:bCs w:val="1"/>
        </w:rPr>
        <w:t xml:space="preserve">TÜRKÇE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Katılım durumu kontrol edilerek toplantı düzeni sağlandı; Türkçe zümresinin yıl içi çalışma başlıkları için resmî sürece geçildi. Katılımcı listesi kontrol edilerek toplantının usulüne uygun biçimde başlatılması sağlandı. Tutanağın düzenli tutulması ve görüşmelerin belirlenen sıraya göre yürütülmesi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sürecinin düzenli tutulmasının alınacak kararların izlenmesini kolaylaştıracağını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sırası katılımcılara sunuldu; Türkçe dersinde planlama, uygulama, ölçme ve izleme süreçlerinin hangi sırayla yürütüleceği netleştirildi. Gündem maddelerinin kapsamı açıklanarak hangi başlıklarda karar alınacağı öğretmenlerle paylaşıldı. Öncelikli konuların öğretim programı, ölçme değerlendirme, materyal kullanımı ve öğrenci takibi olduğu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gündem sırasına bağlı kalınmasının toplantı verimini artıracağını belirtti.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uygulama sonuçları incelenerek tamamlanan, sürdürülen ve güncellenmesi gereken çalışmalar ayrıştırıldı. Önceki kararların sınıf içi uygulamalara yansıyan yönleri, tamamlanan çalışmalar ve sürdürülecek uygulamalar üzerinden incelendi. Devam eden kararların yeni dönem planlamasıyla ilişkilendirilmesi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sonuçlarının yeni dönem planlamalarında dikkate alınması gerektiğini ifade etti.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Görev paylaşımı, tutanak düzeni ve toplantı sürecinde izlenecek işleyiş açık biçimde belirlendi. Zümre çalışmalarında görev paylaşımının açık olması, kararların izlenmesini ve sorumlulukların düzenli yürütülmesini kolaylaştıracaktır. Tutanak düzeni, karar takibi ve öğretmenler arası iletişim konusunda ortak usul belirlendi.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 paylaşımının açık belirlenmesinin dönem içindeki çalışmaları daha düzenli hâle getireceğini belirtti.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Güncel emir, genelge ve tebliğlerin Türkçe dersi uygulamalarına etkisi incelenerek öğretmenlerin dikkat etmesi gereken hususlar belirlendi. Güncel düzenlemelerin ders planlarına, ölçme değerlendirme uygulamalarına ve okul içi işleyişe etkileri üzerinde duruldu. Öğretmenlerin ilgili duyuruları dönem içinde takip etmesi ve gerekli değişiklikleri planlarına yansıtması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mevzuat değişikliklerinin ders planlarına ve ölçme süreçlerine zamanında yansıtılması gerektiğini ifade etti.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planlamalarda okulun amaçları, öğretim programı, sınıf düzeyi ve Türkiye Yüzyılı Maarif Modeli doğrultusunda uyulacak esaslar netleştirildi. Yıllık planların okulun imkânları, sınıf düzeyleri ve öğretim programındaki öğrenme çıktılarıyla uyumlu hazırlanması gerektiği belirtildi. Türkiye Yüzyılı Maarif Modeli kapsamındaki beceri ve değer boyutlarının ders sürecine dengeli biçimde yansıtılması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7)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5, 6 ve 7. sınıf düzeylerinde Türkçe dersi öğrenme çıktıları, içerik sıralaması ve sınıf içi uygulamalar arasında tutarlılık kurulması gerektiği belirtildi. Bu sınıf düzeylerinde öğrenme çıktılarının, ders içeriklerinin ve etkinliklerin birbiriyle uyumlu ilerlemesi önem taşımaktadır. Geçiş sürecinde öğretmenlerin uygulama örneklerini paylaşması ve ihtiyaç duyulan materyalleri birlikte geliştirmesi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8) Öğretim Programı, Çevre Özellikleri, Tema, Konu, Kazanım Ve Öğrenme Çıktısı Ağırlıkları, Yıllık Planlar, Ders Planları Ve Çalışma Takviminin Görüşülmesi</w:t>
      </w:r>
    </w:p>
    <w:p>
      <w:pPr>
        <w:jc w:val="both"/>
        <w:spacing w:after="120"/>
      </w:pPr>
      <w:r>
        <w:rPr>
          <w:rFonts w:ascii="Times New Roman" w:hAnsi="Times New Roman" w:eastAsia="Times New Roman" w:cs="Times New Roman"/>
          <w:sz w:val="24"/>
          <w:szCs w:val="24"/>
        </w:rPr>
        <w:t xml:space="preserve">Türkçe öğretim programındaki tema, konu, kazanım ve öğrenme çıktısı ağırlıkları yıllık plan ve ders planlarıyla ilişkilendirildi. Tema, konu ve kazanım sıralamasının ders yılı takvimiyle dengeli biçimde ilişkilendirilmesi gerektiği ifade edildi. Çevre özellikleri ve öğrenci hazırbulunuşluğu dikkate alınarak ders planlarında gerekli esnekliklerin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9)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millî, manevi ve ahlaki değerlerin ders süreçlerine doğal ve anlamlı biçimde yansıtılması için yapılacak çalışmalar belirlendi. Değerler eğitimi ve Atatürkçülük konularının dersin doğal akışı içinde somut etkinliklerle işlenmesi gerektiği belirtildi. Belirli gün ve haftalarla ilişkilendirilecek çalışmaların önceden planlanması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 eğitiminin dersin doğal akışı içinde somut etkinliklerle desteklenmesi gerektiğini ifade etti.</w:t>
      </w:r>
    </w:p>
    <w:p/>
    <w:p>
      <w:pPr>
        <w:jc w:val="left"/>
        <w:spacing w:after="80"/>
      </w:pPr>
      <w:r>
        <w:rPr>
          <w:rFonts w:ascii="Times New Roman" w:hAnsi="Times New Roman" w:eastAsia="Times New Roman" w:cs="Times New Roman"/>
          <w:sz w:val="24"/>
          <w:szCs w:val="24"/>
          <w:b w:val="1"/>
          <w:bCs w:val="1"/>
        </w:rPr>
        <w:t xml:space="preserve">10)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Türkçe dersinin kazanımlarına uygun yöntem, teknik ve okul temelli uygulamalar belirlenerek sınıf içi sürecin öğrenci katılımını artıracak biçimde yürütülmesi üzerinde duruldu. Öğrenci katılımını artıracak etkinlik temelli, problem çözmeye ve uygulamaya dönük yöntemlerin kullanılması önerildi. Okul temelli uygulamalarda sınıf düzeyi, ders kazanımları ve mevcut imkânların birlikte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öğrencinin aktif katılımını artıran uygulamalara öncelik verilmesi gerektiğini belirtti.</w:t>
      </w:r>
    </w:p>
    <w:p/>
    <w:p>
      <w:pPr>
        <w:jc w:val="left"/>
        <w:spacing w:after="80"/>
      </w:pPr>
      <w:r>
        <w:rPr>
          <w:rFonts w:ascii="Times New Roman" w:hAnsi="Times New Roman" w:eastAsia="Times New Roman" w:cs="Times New Roman"/>
          <w:sz w:val="24"/>
          <w:szCs w:val="24"/>
          <w:b w:val="1"/>
          <w:bCs w:val="1"/>
        </w:rPr>
        <w:t xml:space="preserve">11) Öğrenme Çıktıları, Etkinlikler, Öğrenme Kanıtları Ve Ölçme Değerlendirme Uygulamalarının Görüşülmesi</w:t>
      </w:r>
    </w:p>
    <w:p>
      <w:pPr>
        <w:jc w:val="both"/>
        <w:spacing w:after="120"/>
      </w:pPr>
      <w:r>
        <w:rPr>
          <w:rFonts w:ascii="Times New Roman" w:hAnsi="Times New Roman" w:eastAsia="Times New Roman" w:cs="Times New Roman"/>
          <w:sz w:val="24"/>
          <w:szCs w:val="24"/>
        </w:rPr>
        <w:t xml:space="preserve">Öğrenme çıktıları ile etkinlik, öğrenme kanıtı ve ölçme değerlendirme süreçleri arasında tutarlılık sağlanması için kullanılacak uygulamalar belirlendi. Öğrenme çıktılarının hangi etkinliklerle destekleneceği ve öğrencilerin bu çıktılara ulaşma durumunun nasıl izleneceği açıklaştırıldı. Ölçme araçlarının kazanımlarla uyumlu, anlaşılır ve öğrenci gelişimini izlemeye elverişli olması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 eğitiminin dersin doğal akışı içinde somut etkinliklerle desteklenmesi gerektiğini ifade etti.</w:t>
      </w:r>
    </w:p>
    <w:p/>
    <w:p>
      <w:pPr>
        <w:jc w:val="left"/>
        <w:spacing w:after="80"/>
      </w:pPr>
      <w:r>
        <w:rPr>
          <w:rFonts w:ascii="Times New Roman" w:hAnsi="Times New Roman" w:eastAsia="Times New Roman" w:cs="Times New Roman"/>
          <w:sz w:val="24"/>
          <w:szCs w:val="24"/>
          <w:b w:val="1"/>
          <w:bCs w:val="1"/>
        </w:rPr>
        <w:t xml:space="preserve">12) Sınavların Şekli, Sayısı, Süresi Ve Değerlendirme Esaslarının Belirlenmesi</w:t>
      </w:r>
    </w:p>
    <w:p>
      <w:pPr>
        <w:jc w:val="both"/>
        <w:spacing w:after="120"/>
      </w:pPr>
      <w:r>
        <w:rPr>
          <w:rFonts w:ascii="Times New Roman" w:hAnsi="Times New Roman" w:eastAsia="Times New Roman" w:cs="Times New Roman"/>
          <w:sz w:val="24"/>
          <w:szCs w:val="24"/>
        </w:rPr>
        <w:t xml:space="preserve">Yazılı sınavların türü, sayısı, süresi ve değerlendirme esasları öğretim programındaki kazanımlar ve sınıf düzeyi dikkate alınarak düzenlendi. Yazılı sınavların kapsamı, soru çeşitliliği ve süre planlaması öğretim programındaki kazanımlar dikkate alınarak düzenlenecektir. Sınav uygulamalarında öğrencilerin farklı düzeylerde düşünme becerilerini gösterebileceği soru yapılarına yer verilmesi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 eğitiminin dersin doğal akışı içinde somut etkinliklerle desteklenmesi gerektiğini ifade etti.</w:t>
      </w:r>
    </w:p>
    <w:p/>
    <w:p>
      <w:pPr>
        <w:jc w:val="left"/>
        <w:spacing w:after="80"/>
      </w:pPr>
      <w:r>
        <w:rPr>
          <w:rFonts w:ascii="Times New Roman" w:hAnsi="Times New Roman" w:eastAsia="Times New Roman" w:cs="Times New Roman"/>
          <w:sz w:val="24"/>
          <w:szCs w:val="24"/>
          <w:b w:val="1"/>
          <w:bCs w:val="1"/>
        </w:rPr>
        <w:t xml:space="preserve">13) Ülke, İl, İlçe Ve Okul Geneli Ortak Sınavlar, Mazeret Sınavları Ve Değerlendirme İşlemlerinin Görüşülmesi</w:t>
      </w:r>
    </w:p>
    <w:p>
      <w:pPr>
        <w:jc w:val="both"/>
        <w:spacing w:after="120"/>
      </w:pPr>
      <w:r>
        <w:rPr>
          <w:rFonts w:ascii="Times New Roman" w:hAnsi="Times New Roman" w:eastAsia="Times New Roman" w:cs="Times New Roman"/>
          <w:sz w:val="24"/>
          <w:szCs w:val="24"/>
        </w:rPr>
        <w:t xml:space="preserve">Ortak sınavlar, mazeret sınavları ve değerlendirme işlemlerinde izlenecek süreçlerin ilgili takvim ve ölçme ilkeleriyle uyumlu yürütülmesi kararlaştırıldı. Ortak sınav ve mazeret sınavı süreçlerinde takvim, soru hazırlama, uygulama ve puanlama aşamalarının düzenli yürütülmesi gerektiği belirtildi. Değerlendirme işlemlerinde ortak ölçütlerin kullanılması ve sonuçların zümre tarafından izlenmesi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 eğitiminin dersin doğal akışı içinde somut etkinliklerle desteklenmesi gerektiğini ifade etti.</w:t>
      </w:r>
    </w:p>
    <w:p/>
    <w:p>
      <w:pPr>
        <w:jc w:val="left"/>
        <w:spacing w:after="80"/>
      </w:pPr>
      <w:r>
        <w:rPr>
          <w:rFonts w:ascii="Times New Roman" w:hAnsi="Times New Roman" w:eastAsia="Times New Roman" w:cs="Times New Roman"/>
          <w:sz w:val="24"/>
          <w:szCs w:val="24"/>
          <w:b w:val="1"/>
          <w:bCs w:val="1"/>
        </w:rPr>
        <w:t xml:space="preserve">14) Konu Soru Dağılım Tabloları, Sınav Analizleri Ve Kazanım Eksiklerinin Değerlendirilmesi</w:t>
      </w:r>
    </w:p>
    <w:p>
      <w:pPr>
        <w:jc w:val="both"/>
        <w:spacing w:after="120"/>
      </w:pPr>
      <w:r>
        <w:rPr>
          <w:rFonts w:ascii="Times New Roman" w:hAnsi="Times New Roman" w:eastAsia="Times New Roman" w:cs="Times New Roman"/>
          <w:sz w:val="24"/>
          <w:szCs w:val="24"/>
        </w:rPr>
        <w:t xml:space="preserve">Konu soru dağılım tablolarının sınav hazırlık sürecinde temel alınması ve sınav sonuçlarından hareketle kazanım eksiklerinin izlenmesi kararlaştırıldı. Konu soru dağılım tablolarının sınav hazırlığında temel alınması ve sınav sonuçlarının kazanım düzeyinde incelenmesi gerektiği ifade edildi. Eksik öğrenmeler için tekrar, ek çalışma ve bireysel destek uygulamalarının planlanması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 eğitiminin dersin doğal akışı içinde somut etkinliklerle desteklenmesi gerektiğini ifade etti.</w:t>
      </w:r>
    </w:p>
    <w:p/>
    <w:p>
      <w:pPr>
        <w:jc w:val="left"/>
        <w:spacing w:after="80"/>
      </w:pPr>
      <w:r>
        <w:rPr>
          <w:rFonts w:ascii="Times New Roman" w:hAnsi="Times New Roman" w:eastAsia="Times New Roman" w:cs="Times New Roman"/>
          <w:sz w:val="24"/>
          <w:szCs w:val="24"/>
          <w:b w:val="1"/>
          <w:bCs w:val="1"/>
        </w:rPr>
        <w:t xml:space="preserve">15) Soru Ve Cevap Anahtarları, Dereceli Puanlama Anahtarları, Kontrol Listeleri Ve Değerlendirme Ölçeklerinin Görüşülmesi</w:t>
      </w:r>
    </w:p>
    <w:p>
      <w:pPr>
        <w:jc w:val="both"/>
        <w:spacing w:after="120"/>
      </w:pPr>
      <w:r>
        <w:rPr>
          <w:rFonts w:ascii="Times New Roman" w:hAnsi="Times New Roman" w:eastAsia="Times New Roman" w:cs="Times New Roman"/>
          <w:sz w:val="24"/>
          <w:szCs w:val="24"/>
        </w:rPr>
        <w:t xml:space="preserve">Soru ve cevap anahtarları ile dereceli puanlama anahtarlarının açık, ölçülebilir ve kazanımlarla uyumlu hazırlanması gerektiği belirtildi. Soru ve cevap anahtarlarının açık, anlaşılır ve kazanım kapsamını temsil edecek biçimde hazırlanması gerektiği belirtildi. Dereceli puanlama anahtarı, kontrol listesi ve ölçeklerin öğretmenler arasında ortak ölçüt oluşturması hedeflendi.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 eğitiminin dersin doğal akışı içinde somut etkinliklerle desteklenmesi gerektiğini ifade etti.</w:t>
      </w:r>
    </w:p>
    <w:p/>
    <w:p>
      <w:pPr>
        <w:jc w:val="left"/>
        <w:spacing w:after="80"/>
      </w:pPr>
      <w:r>
        <w:rPr>
          <w:rFonts w:ascii="Times New Roman" w:hAnsi="Times New Roman" w:eastAsia="Times New Roman" w:cs="Times New Roman"/>
          <w:sz w:val="24"/>
          <w:szCs w:val="24"/>
          <w:b w:val="1"/>
          <w:bCs w:val="1"/>
        </w:rPr>
        <w:t xml:space="preserve">16) Sözlü Anlatım, Uygulamalı Etkinlik Ve Ürün Değerlendirme Süreçlerinin Planlanması</w:t>
      </w:r>
    </w:p>
    <w:p>
      <w:pPr>
        <w:jc w:val="both"/>
        <w:spacing w:after="120"/>
      </w:pPr>
      <w:r>
        <w:rPr>
          <w:rFonts w:ascii="Times New Roman" w:hAnsi="Times New Roman" w:eastAsia="Times New Roman" w:cs="Times New Roman"/>
          <w:sz w:val="24"/>
          <w:szCs w:val="24"/>
        </w:rPr>
        <w:t xml:space="preserve">Türkçe dersinde uygulamalı etkinliklerin ve ürün değerlendirme çalışmalarının öğrenci becerilerini görünür kılacak ölçütlerle yürütülmesi uygun bulundu. Uygulamalı çalışmaların yalnızca sonuç ürünüyle değil, süreçte gösterilen katılım, çaba ve beceri gelişimiyle birlikte izlenmesi gerektiği belirtildi. Ürün değerlendirme ölçütlerinin öğrenciye önceden açıklanması ve gözlem formlarıyla desteklenmesi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 eğitiminin dersin doğal akışı içinde somut etkinliklerle desteklenmesi gerektiğini ifade etti.</w:t>
      </w:r>
    </w:p>
    <w:p/>
    <w:p>
      <w:pPr>
        <w:jc w:val="left"/>
        <w:spacing w:after="80"/>
      </w:pPr>
      <w:r>
        <w:rPr>
          <w:rFonts w:ascii="Times New Roman" w:hAnsi="Times New Roman" w:eastAsia="Times New Roman" w:cs="Times New Roman"/>
          <w:sz w:val="24"/>
          <w:szCs w:val="24"/>
          <w:b w:val="1"/>
          <w:bCs w:val="1"/>
        </w:rPr>
        <w:t xml:space="preserve">17) Ulusal Ve Uluslararası Sınav, Yarışma Ve Etkinlik Sonuçlarına Yönelik Değerlendirmelerin Görüşülmesi</w:t>
      </w:r>
    </w:p>
    <w:p>
      <w:pPr>
        <w:jc w:val="both"/>
        <w:spacing w:after="120"/>
      </w:pPr>
      <w:r>
        <w:rPr>
          <w:rFonts w:ascii="Times New Roman" w:hAnsi="Times New Roman" w:eastAsia="Times New Roman" w:cs="Times New Roman"/>
          <w:sz w:val="24"/>
          <w:szCs w:val="24"/>
        </w:rPr>
        <w:t xml:space="preserve">Sınav, yarışma ve etkinlik sonuçlarının ders kazanımlarıyla ilişkilendirilerek öğrenci gelişimini destekleyecek veriler olarak kullanılması benimsendi. Sınav, yarışma ve etkinlik sonuçlarının öğrenci becerilerini tanımak ve geliştirmek için veri olarak kullanılması gerektiği ifade edildi. Katılım sağlanan veya takip edilen etkinliklerden elde edilen sonuçların ders çalışmalarıyla ilişkilendirilmesi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 eğitiminin dersin doğal akışı içinde somut etkinliklerle desteklenmesi gerektiğini ifade etti.</w:t>
      </w:r>
    </w:p>
    <w:p/>
    <w:p>
      <w:pPr>
        <w:jc w:val="left"/>
        <w:spacing w:after="80"/>
      </w:pPr>
      <w:r>
        <w:rPr>
          <w:rFonts w:ascii="Times New Roman" w:hAnsi="Times New Roman" w:eastAsia="Times New Roman" w:cs="Times New Roman"/>
          <w:sz w:val="24"/>
          <w:szCs w:val="24"/>
          <w:b w:val="1"/>
          <w:bCs w:val="1"/>
        </w:rPr>
        <w:t xml:space="preserve">18) Lgs Kapsamındaki Sınava Hazırlık, İzleme Ve Destekleme Çalışmalarının Planlanması</w:t>
      </w:r>
    </w:p>
    <w:p>
      <w:pPr>
        <w:jc w:val="both"/>
        <w:spacing w:after="120"/>
      </w:pPr>
      <w:r>
        <w:rPr>
          <w:rFonts w:ascii="Times New Roman" w:hAnsi="Times New Roman" w:eastAsia="Times New Roman" w:cs="Times New Roman"/>
          <w:sz w:val="24"/>
          <w:szCs w:val="24"/>
        </w:rPr>
        <w:t xml:space="preserve">LGS kapsamındaki sınıf ve konularda sınava hazırlık çalışmalarının düzenli izleme, tekrar ve destek uygulamalarıyla yürütülmesi gerektiği belirtildi. LGS kapsamındaki konularda öğrencilerin düzenli izleme, tekrar ve soru çözüm çalışmalarıyla desteklenmesi gerektiği belirtildi. Sınava hazırlık sürecinde kazanım eksiklerinin erken belirlenmesi ve destekleyici çalışmaların planlı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araçlarının kazanımları kapsaması ve öğrenci gelişimini izlemeye katkı sağlaması gerektiğini ifade etti.</w:t>
      </w:r>
    </w:p>
    <w:p/>
    <w:p>
      <w:pPr>
        <w:jc w:val="left"/>
        <w:spacing w:after="80"/>
      </w:pPr>
      <w:r>
        <w:rPr>
          <w:rFonts w:ascii="Times New Roman" w:hAnsi="Times New Roman" w:eastAsia="Times New Roman" w:cs="Times New Roman"/>
          <w:sz w:val="24"/>
          <w:szCs w:val="24"/>
          <w:b w:val="1"/>
          <w:bCs w:val="1"/>
        </w:rPr>
        <w:t xml:space="preserve">19) Öğrenci Başarı Durumu,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Konu soru dağılım tablolarının sınav hazırlık sürecinde temel alınması ve sınav sonuçlarından hareketle kazanım eksiklerinin izlenmesi kararlaştırıldı. Öğrencilerin başarı durumu yalnızca sınav sonuçlarıyla değil, ders içi katılım, ödev düzeni ve kazanım gelişimiyle birlikte izlenecektir. Risk görülen öğrenciler için destekleyici eylem planlarının hazırlanması ve sonuçların dönem içinde takip edilmesi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 eğitiminin dersin doğal akışı içinde somut etkinliklerle desteklenmesi gerektiğini ifade etti.</w:t>
      </w:r>
    </w:p>
    <w:p/>
    <w:p>
      <w:pPr>
        <w:jc w:val="left"/>
        <w:spacing w:after="80"/>
      </w:pPr>
      <w:r>
        <w:rPr>
          <w:rFonts w:ascii="Times New Roman" w:hAnsi="Times New Roman" w:eastAsia="Times New Roman" w:cs="Times New Roman"/>
          <w:sz w:val="24"/>
          <w:szCs w:val="24"/>
          <w:b w:val="1"/>
          <w:bCs w:val="1"/>
        </w:rPr>
        <w:t xml:space="preserve">20)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Performans görevi, proje ve ürün çalışmalarında öğrencilerin araştırma, üretme, sunma ve değerlendirme becerilerini gösterebileceği ölçütler öne çıkarıldı. Uygulamalı çalışmaların yalnızca sonuç ürünüyle değil, süreçte gösterilen katılım, çaba ve beceri gelişimiyle birlikte izlenmesi gerektiği belirtildi. Ürün değerlendirme ölçütlerinin öğrenciye önceden açıklanması ve gözlem formlarıyla desteklenmesi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 eğitiminin dersin doğal akışı içinde somut etkinliklerle desteklenmesi gerektiğini ifade etti.</w:t>
      </w:r>
    </w:p>
    <w:p/>
    <w:p>
      <w:pPr>
        <w:jc w:val="left"/>
        <w:spacing w:after="80"/>
      </w:pPr>
      <w:r>
        <w:rPr>
          <w:rFonts w:ascii="Times New Roman" w:hAnsi="Times New Roman" w:eastAsia="Times New Roman" w:cs="Times New Roman"/>
          <w:sz w:val="24"/>
          <w:szCs w:val="24"/>
          <w:b w:val="1"/>
          <w:bCs w:val="1"/>
        </w:rPr>
        <w:t xml:space="preserve">21)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Türkçe öğretim programındaki tema, konu, kazanım ve öğrenme çıktısı ağırlıkları yıllık plan ve ders planlarıyla ilişkilendirildi. Tema, konu ve kazanım sıralamasının ders yılı takvimiyle dengeli biçimde ilişkilendirilmesi gerektiği ifade edildi. Çevre özellikleri ve öğrenci hazırbulunuşluğu dikkate alınarak ders planlarında gerekli esnekliklerin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22) Ders Kitapları, Kaynaklar, Öğretim Materyalleri Ve Bilişim Araçlarının Değerlendirilmesi</w:t>
      </w:r>
    </w:p>
    <w:p>
      <w:pPr>
        <w:jc w:val="both"/>
        <w:spacing w:after="120"/>
      </w:pPr>
      <w:r>
        <w:rPr>
          <w:rFonts w:ascii="Times New Roman" w:hAnsi="Times New Roman" w:eastAsia="Times New Roman" w:cs="Times New Roman"/>
          <w:sz w:val="24"/>
          <w:szCs w:val="24"/>
        </w:rPr>
        <w:t xml:space="preserve">Türkçe dersinde kullanılacak ders kitabı, kaynak, öğretim materyali ve bilişim araçlarının program hedeflerini destekleyecek şekilde seçilmesi gerektiği belirtildi. Ders kitabı, yardımcı kaynak, dijital içerik ve öğretim materyallerinin kazanımları destekleyecek biçimde seçilmesi gerektiği belirtildi. Materyal kullanımında öğrenci düzeyi, erişilebilirlik ve ders süresinin verimli kullanılması dikkate alınacaktır.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 eğitiminin dersin doğal akışı içinde somut etkinliklerle desteklenmesi gerektiğini ifade etti.</w:t>
      </w:r>
    </w:p>
    <w:p/>
    <w:p>
      <w:pPr>
        <w:jc w:val="left"/>
        <w:spacing w:after="80"/>
      </w:pPr>
      <w:r>
        <w:rPr>
          <w:rFonts w:ascii="Times New Roman" w:hAnsi="Times New Roman" w:eastAsia="Times New Roman" w:cs="Times New Roman"/>
          <w:sz w:val="24"/>
          <w:szCs w:val="24"/>
          <w:b w:val="1"/>
          <w:bCs w:val="1"/>
        </w:rPr>
        <w:t xml:space="preserve">23) Laboratuvar, Kütüphane, Spor Salonu, Atölye Ve Benzeri Eğitim Ortamlarının Kullanımının Planlanması</w:t>
      </w:r>
    </w:p>
    <w:p>
      <w:pPr>
        <w:jc w:val="both"/>
        <w:spacing w:after="120"/>
      </w:pPr>
      <w:r>
        <w:rPr>
          <w:rFonts w:ascii="Times New Roman" w:hAnsi="Times New Roman" w:eastAsia="Times New Roman" w:cs="Times New Roman"/>
          <w:sz w:val="24"/>
          <w:szCs w:val="24"/>
        </w:rPr>
        <w:t xml:space="preserve">Okulun eğitim ortamlarının ders kazanımlarına hizmet edecek biçimde planlı ve güvenli şekilde kullanılması için gerekli düzenlemeler belirlendi. Okuldaki eğitim ortamlarının ders amaçlarına uygun, güvenli ve planlı biçimde kullanılması için gerekli düzenlemeler belirlendi. Ortam kullanımında zamanlama, araç gereç ihtiyacı ve öğrenci güvenliği birlikte dikkate alınacaktır.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eğitim ortamlarının güvenli, planlı ve ders kazanımlarına hizmet edecek biçimde kullanılması gerektiğini belirtti.</w:t>
      </w:r>
    </w:p>
    <w:p/>
    <w:p>
      <w:pPr>
        <w:jc w:val="left"/>
        <w:spacing w:after="80"/>
      </w:pPr>
      <w:r>
        <w:rPr>
          <w:rFonts w:ascii="Times New Roman" w:hAnsi="Times New Roman" w:eastAsia="Times New Roman" w:cs="Times New Roman"/>
          <w:sz w:val="24"/>
          <w:szCs w:val="24"/>
          <w:b w:val="1"/>
          <w:bCs w:val="1"/>
        </w:rPr>
        <w:t xml:space="preserve">24) Okul Ve Çevre İmkânlarına Dayalı Gezi, Gözlem, Deney, Araştırma, Anket, Proje Ve Okul Dışı Öğrenme Çalışmalarının Planlanması</w:t>
      </w:r>
    </w:p>
    <w:p>
      <w:pPr>
        <w:jc w:val="both"/>
        <w:spacing w:after="120"/>
      </w:pPr>
      <w:r>
        <w:rPr>
          <w:rFonts w:ascii="Times New Roman" w:hAnsi="Times New Roman" w:eastAsia="Times New Roman" w:cs="Times New Roman"/>
          <w:sz w:val="24"/>
          <w:szCs w:val="24"/>
        </w:rPr>
        <w:t xml:space="preserve">Okul ve çevre imkânlarından yararlanılarak yapılacak gezi, gözlem, araştırma ve okul dışı öğrenme çalışmalarının kazanımlarla ilişkilendirilmesi kararlaştırıldı. Gezi, gözlem, araştırma ve okul dışı öğrenme çalışmalarının ders kazanımlarıyla doğrudan ilişkilendirilmesi gerektiği belirtildi. Bu çalışmalar için izin, güvenlik, ulaşım ve materyal ihtiyaçlarının önceden planlanması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proje ve ürün çalışmalarında sürecin de ürün kadar dikkate alınması gerektiğini belirtti.</w:t>
      </w:r>
    </w:p>
    <w:p/>
    <w:p>
      <w:pPr>
        <w:jc w:val="left"/>
        <w:spacing w:after="80"/>
      </w:pPr>
      <w:r>
        <w:rPr>
          <w:rFonts w:ascii="Times New Roman" w:hAnsi="Times New Roman" w:eastAsia="Times New Roman" w:cs="Times New Roman"/>
          <w:sz w:val="24"/>
          <w:szCs w:val="24"/>
          <w:b w:val="1"/>
          <w:bCs w:val="1"/>
        </w:rPr>
        <w:t xml:space="preserve">25)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ve destekleme çalışmalarında öğrencilerin bireysel ihtiyaçlarına uygun düzenlemelerin yapılması gerektiği vurgulandı. BEP, özel eğitim ve farklılaştırılmış öğretim uygulamalarında öğrencilerin bireysel ihtiyaçlarına uygun hedef ve etkinlikler belirlenmesi gerektiği vurgulandı. Destekleme ve zenginleştirme çalışmalarının sınıf içi uygulamalarla uyumlu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bireysel farklılıkların ders planlarına yansıtılmasının öğrenci gelişimini destekleyeceğini belirtti.</w:t>
      </w:r>
    </w:p>
    <w:p/>
    <w:p>
      <w:pPr>
        <w:jc w:val="left"/>
        <w:spacing w:after="80"/>
      </w:pPr>
      <w:r>
        <w:rPr>
          <w:rFonts w:ascii="Times New Roman" w:hAnsi="Times New Roman" w:eastAsia="Times New Roman" w:cs="Times New Roman"/>
          <w:sz w:val="24"/>
          <w:szCs w:val="24"/>
          <w:b w:val="1"/>
          <w:bCs w:val="1"/>
        </w:rPr>
        <w:t xml:space="preserve">26)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ve mesleki paylaşım süreçlerinin öğretmenler arası deneyim aktarımını güçlendirecek şekilde yürütülmesi planlandı. Ders ziyareti ve geri dönüt süreçlerinin öğretmenler arası mesleki paylaşımı güçlendirecek biçimde yürütülmesi gerektiği belirtildi. Diğer zümrelerle yapılacak ortak çalışmaların takvimlendirilmesi ve sonuçlarının paylaşılması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mesleki paylaşımın öğretmenler arasında ortak uygulama kültürünü güçlendireceğini ifade etti.</w:t>
      </w:r>
    </w:p>
    <w:p/>
    <w:p>
      <w:pPr>
        <w:jc w:val="left"/>
        <w:spacing w:after="80"/>
      </w:pPr>
      <w:r>
        <w:rPr>
          <w:rFonts w:ascii="Times New Roman" w:hAnsi="Times New Roman" w:eastAsia="Times New Roman" w:cs="Times New Roman"/>
          <w:sz w:val="24"/>
          <w:szCs w:val="24"/>
          <w:b w:val="1"/>
          <w:bCs w:val="1"/>
        </w:rPr>
        <w:t xml:space="preserve">27)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Türkçe alanındaki akademik, bilimsel ve teknolojik gelişmelerin ders uygulamalarına yansıtılması için izlenecek kaynaklar ve paylaşım yolları belirlendi. Alanla ilgili akademik, bilimsel ve teknolojik gelişmelerin ders içeriklerine uygun örneklerle yansıtılması gerektiği ifade edildi. Öğretmenlerin yararlı kaynak ve uygulamaları zümre içinde paylaşması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alanla ilgili güncel gelişmelerin ders örneklerine dönüştürülmesinin öğrenci ilgisini artıracağını belirtti.</w:t>
      </w:r>
    </w:p>
    <w:p/>
    <w:p>
      <w:pPr>
        <w:jc w:val="left"/>
        <w:spacing w:after="80"/>
      </w:pPr>
      <w:r>
        <w:rPr>
          <w:rFonts w:ascii="Times New Roman" w:hAnsi="Times New Roman" w:eastAsia="Times New Roman" w:cs="Times New Roman"/>
          <w:sz w:val="24"/>
          <w:szCs w:val="24"/>
          <w:b w:val="1"/>
          <w:bCs w:val="1"/>
        </w:rPr>
        <w:t xml:space="preserve">28)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girişimcilik, araştırma, geliştirme ve tasarım becerilerini destekleyecek ders içi ve ders dışı çalışmalar planlandı. Öğrencilerin araştırma, geliştirme, tasarım ve girişimcilik becerilerini kullanabileceği ders içi çalışmalar planlandı. Bu becerilerin proje, problem çözme ve ürün oluşturma etkinlikleriyle desteklenmesi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araştırma ve üretim becerilerini geliştiren etkinliklere yer verilmesi gerektiğini ifade etti.</w:t>
      </w:r>
    </w:p>
    <w:p/>
    <w:p>
      <w:pPr>
        <w:jc w:val="left"/>
        <w:spacing w:after="80"/>
      </w:pPr>
      <w:r>
        <w:rPr>
          <w:rFonts w:ascii="Times New Roman" w:hAnsi="Times New Roman" w:eastAsia="Times New Roman" w:cs="Times New Roman"/>
          <w:sz w:val="24"/>
          <w:szCs w:val="24"/>
          <w:b w:val="1"/>
          <w:bCs w:val="1"/>
        </w:rPr>
        <w:t xml:space="preserve">29) Disiplinler Arası Çalışmaların Planlanması</w:t>
      </w:r>
    </w:p>
    <w:p>
      <w:pPr>
        <w:jc w:val="both"/>
        <w:spacing w:after="120"/>
      </w:pPr>
      <w:r>
        <w:rPr>
          <w:rFonts w:ascii="Times New Roman" w:hAnsi="Times New Roman" w:eastAsia="Times New Roman" w:cs="Times New Roman"/>
          <w:sz w:val="24"/>
          <w:szCs w:val="24"/>
        </w:rPr>
        <w:t xml:space="preserve">Türkçe dersinin diğer derslerle ilişkilendirilebileceği kazanım ve etkinlik alanları belirlenerek ortak çalışma imkânları üzerinde duruldu. Türkçe dersinin diğer derslerle ilişkilendirilebileceği konu ve kazanımlar belirlendi. Ortak etkinliklerin öğrencilerin bilgiyi farklı alanlarda kullanma becerisini geliştirmesi hedeflendi.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farklı derslerle kurulacak bağlantıların öğrenmenin kalıcılığını artıracağını belirtti.</w:t>
      </w:r>
    </w:p>
    <w:p/>
    <w:p>
      <w:pPr>
        <w:jc w:val="left"/>
        <w:spacing w:after="80"/>
      </w:pPr>
      <w:r>
        <w:rPr>
          <w:rFonts w:ascii="Times New Roman" w:hAnsi="Times New Roman" w:eastAsia="Times New Roman" w:cs="Times New Roman"/>
          <w:sz w:val="24"/>
          <w:szCs w:val="24"/>
          <w:b w:val="1"/>
          <w:bCs w:val="1"/>
        </w:rPr>
        <w:t xml:space="preserve">30) Çoklu Okuryazarlık, Üst Düzey Düşünme, Sosyal Ve Duygusal Becerilere Yönelik Çalışmaların Planlanması</w:t>
      </w:r>
    </w:p>
    <w:p>
      <w:pPr>
        <w:jc w:val="both"/>
        <w:spacing w:after="120"/>
      </w:pPr>
      <w:r>
        <w:rPr>
          <w:rFonts w:ascii="Times New Roman" w:hAnsi="Times New Roman" w:eastAsia="Times New Roman" w:cs="Times New Roman"/>
          <w:sz w:val="24"/>
          <w:szCs w:val="24"/>
        </w:rPr>
        <w:t xml:space="preserve">Çoklu okuryazarlık, üst düzey düşünme ile sosyal ve duygusal becerileri destekleyen etkinliklerin ders süreçlerine düzenli biçimde yerleştirilmesi kararlaştırıldı. Çoklu okuryazarlık, problem çözme, eleştirel düşünme ve sosyal-duygusal becerileri destekleyen etkinliklere yer verilmesi benimsendi. Bu becerilerin ders içi uygulamalarla düzenli biçimde izlenmesi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beceri temelli etkinliklerin düzenli ve ölçülebilir biçimde planlanması gerektiğini ifade etti.</w:t>
      </w:r>
    </w:p>
    <w:p/>
    <w:p>
      <w:pPr>
        <w:jc w:val="left"/>
        <w:spacing w:after="80"/>
      </w:pPr>
      <w:r>
        <w:rPr>
          <w:rFonts w:ascii="Times New Roman" w:hAnsi="Times New Roman" w:eastAsia="Times New Roman" w:cs="Times New Roman"/>
          <w:sz w:val="24"/>
          <w:szCs w:val="24"/>
          <w:b w:val="1"/>
          <w:bCs w:val="1"/>
        </w:rPr>
        <w:t xml:space="preserve">31)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Atatürkçülük konuları ile millî, manevi ve ahlaki değerlerin ders süreçlerine doğal ve anlamlı biçimde yansıtılması için yapılacak çalışmalar belirlendi. Değerler eğitimi ve Atatürkçülük konularının dersin doğal akışı içinde somut etkinliklerle işlenmesi gerektiği belirtildi. Belirli gün ve haftalarla ilişkilendirilecek çalışmaların önceden planlanması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bütüncül gelişimini destekleyen etkinliklerin ders sürecine yayılması gerektiğini belirtti.</w:t>
      </w:r>
    </w:p>
    <w:p/>
    <w:p>
      <w:pPr>
        <w:jc w:val="left"/>
        <w:spacing w:after="80"/>
      </w:pPr>
      <w:r>
        <w:rPr>
          <w:rFonts w:ascii="Times New Roman" w:hAnsi="Times New Roman" w:eastAsia="Times New Roman" w:cs="Times New Roman"/>
          <w:sz w:val="24"/>
          <w:szCs w:val="24"/>
          <w:b w:val="1"/>
          <w:bCs w:val="1"/>
        </w:rPr>
        <w:t xml:space="preserve">32)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Sosyal sorumluluk ile sosyal, kültürel, sanatsal ve sportif etkinliklerin öğrencilerin gelişimini destekleyecek biçimde planlanması benimsendi. Sınav, yarışma ve etkinlik sonuçlarının öğrenci becerilerini tanımak ve geliştirmek için veri olarak kullanılması gerektiği ifade edildi. Katılım sağlanan veya takip edilen etkinliklerden elde edilen sonuçların ders çalışmalarıyla ilişkilendirilmesi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öğrencilerin ilgi, yetenek ve sorumluluk bilincini geliştirecek şekilde seçilmesi gerektiğini ifade etti.</w:t>
      </w:r>
    </w:p>
    <w:p/>
    <w:p>
      <w:pPr>
        <w:jc w:val="left"/>
        <w:spacing w:after="80"/>
      </w:pPr>
      <w:r>
        <w:rPr>
          <w:rFonts w:ascii="Times New Roman" w:hAnsi="Times New Roman" w:eastAsia="Times New Roman" w:cs="Times New Roman"/>
          <w:sz w:val="24"/>
          <w:szCs w:val="24"/>
          <w:b w:val="1"/>
          <w:bCs w:val="1"/>
        </w:rPr>
        <w:t xml:space="preserve">33)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Sınav, yarışma ve etkinlik sonuçlarının ders kazanımlarıyla ilişkilendirilerek öğrenci gelişimini destekleyecek veriler olarak kullanılması benimsendi. Sınav, yarışma ve etkinlik sonuçlarının öğrenci becerilerini tanımak ve geliştirmek için veri olarak kullanılması gerektiği ifade edildi. Katılım sağlanan veya takip edilen etkinliklerden elde edilen sonuçların ders çalışmalarıyla ilişkilendirilmesi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proje ve ürün çalışmalarında sürecin de ürün kadar dikkate alınması gerektiğini belirtti.</w:t>
      </w:r>
    </w:p>
    <w:p/>
    <w:p>
      <w:pPr>
        <w:jc w:val="left"/>
        <w:spacing w:after="80"/>
      </w:pPr>
      <w:r>
        <w:rPr>
          <w:rFonts w:ascii="Times New Roman" w:hAnsi="Times New Roman" w:eastAsia="Times New Roman" w:cs="Times New Roman"/>
          <w:sz w:val="24"/>
          <w:szCs w:val="24"/>
          <w:b w:val="1"/>
          <w:bCs w:val="1"/>
        </w:rPr>
        <w:t xml:space="preserve">34) Okul Aile İş Birliği Ve Veli Toplantılarının Planlanması</w:t>
      </w:r>
    </w:p>
    <w:p>
      <w:pPr>
        <w:jc w:val="both"/>
        <w:spacing w:after="120"/>
      </w:pPr>
      <w:r>
        <w:rPr>
          <w:rFonts w:ascii="Times New Roman" w:hAnsi="Times New Roman" w:eastAsia="Times New Roman" w:cs="Times New Roman"/>
          <w:sz w:val="24"/>
          <w:szCs w:val="24"/>
        </w:rPr>
        <w:t xml:space="preserve">Ders ziyareti, geri dönüt ve mesleki paylaşım süreçlerinin öğretmenler arası deneyim aktarımını güçlendirecek şekilde yürütülmesi planlandı. Ders ziyareti ve geri dönüt süreçlerinin öğretmenler arası mesleki paylaşımı güçlendirecek biçimde yürütülmesi gerektiği belirtildi. Diğer zümrelerle yapılacak ortak çalışmaların takvimlendirilmesi ve sonuçlarının paylaşılması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mesleki paylaşımın öğretmenler arasında ortak uygulama kültürünü güçlendireceğini ifade etti.</w:t>
      </w:r>
    </w:p>
    <w:p/>
    <w:p>
      <w:pPr>
        <w:jc w:val="left"/>
        <w:spacing w:after="80"/>
      </w:pPr>
      <w:r>
        <w:rPr>
          <w:rFonts w:ascii="Times New Roman" w:hAnsi="Times New Roman" w:eastAsia="Times New Roman" w:cs="Times New Roman"/>
          <w:sz w:val="24"/>
          <w:szCs w:val="24"/>
          <w:b w:val="1"/>
          <w:bCs w:val="1"/>
        </w:rPr>
        <w:t xml:space="preserve">35)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okul yönetimi ve öğretmenler arasında düzenli bilgi paylaşımı yapılması gerektiği belirtildi. Önleme, müdahale ve yönlendirme çalışmalarında rehberlik servisi, okul yönetimi ve öğretmenler arasında düzenli bilgi paylaşımı yapılması gerektiği belirtildi. Risk görülen durumlarda erken fark etme ve uygun yönlendirme süreçlerinin işletilmesi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riskli durumlarda erken fark etme ve doğru yönlendirme sürecinin önem taşıdığını belirtti.</w:t>
      </w:r>
    </w:p>
    <w:p/>
    <w:p>
      <w:pPr>
        <w:jc w:val="left"/>
        <w:spacing w:after="80"/>
      </w:pPr>
      <w:r>
        <w:rPr>
          <w:rFonts w:ascii="Times New Roman" w:hAnsi="Times New Roman" w:eastAsia="Times New Roman" w:cs="Times New Roman"/>
          <w:sz w:val="24"/>
          <w:szCs w:val="24"/>
          <w:b w:val="1"/>
          <w:bCs w:val="1"/>
        </w:rPr>
        <w:t xml:space="preserve">36)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ve çevre imkânlarından yararlanılarak yapılacak gezi, gözlem, araştırma ve okul dışı öğrenme çalışmalarının kazanımlarla ilişkilendirilmesi kararlaştırıldı. Gezi, gözlem, araştırma ve okul dışı öğrenme çalışmalarının ders kazanımlarıyla doğrudan ilişkilendirilmesi gerektiği belirtildi. Bu çalışmalar için izin, güvenlik, ulaşım ve materyal ihtiyaçlarının önceden planlanması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materyal seçiminde erişilebilirlik, kazanım uyumu ve öğrencinin ilgisini artırma ölçütlerinin dikkate alınması gerektiğini ifade etti.</w:t>
      </w:r>
    </w:p>
    <w:p/>
    <w:p>
      <w:pPr>
        <w:jc w:val="left"/>
        <w:spacing w:after="80"/>
      </w:pPr>
      <w:r>
        <w:rPr>
          <w:rFonts w:ascii="Times New Roman" w:hAnsi="Times New Roman" w:eastAsia="Times New Roman" w:cs="Times New Roman"/>
          <w:sz w:val="24"/>
          <w:szCs w:val="24"/>
          <w:b w:val="1"/>
          <w:bCs w:val="1"/>
        </w:rPr>
        <w:t xml:space="preserve">37)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sınıf, laboratuvar, atölye, salon ve okul dışı etkinliklerde alınması gereken tedbirler belirlendi. İş sağlığı ve güvenliği açısından sınıf, laboratuvar, atölye, salon ve okul dışı etkinliklerde alınacak tedbirler belirlendi. Öğrencilerin güvenliğini önceleyen uygulamaların dönem boyunca takip edilmesi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 eğitiminin dersin doğal akışı içinde somut etkinliklerle desteklenmesi gerektiğini ifade etti.</w:t>
      </w:r>
    </w:p>
    <w:p/>
    <w:p>
      <w:pPr>
        <w:jc w:val="left"/>
        <w:spacing w:after="80"/>
      </w:pPr>
      <w:r>
        <w:rPr>
          <w:rFonts w:ascii="Times New Roman" w:hAnsi="Times New Roman" w:eastAsia="Times New Roman" w:cs="Times New Roman"/>
          <w:sz w:val="24"/>
          <w:szCs w:val="24"/>
          <w:b w:val="1"/>
          <w:bCs w:val="1"/>
        </w:rPr>
        <w:t xml:space="preserve">38) Dilek Ve Temenniler</w:t>
      </w:r>
    </w:p>
    <w:p>
      <w:pPr>
        <w:jc w:val="both"/>
        <w:spacing w:after="120"/>
      </w:pPr>
      <w:r>
        <w:rPr>
          <w:rFonts w:ascii="Times New Roman" w:hAnsi="Times New Roman" w:eastAsia="Times New Roman" w:cs="Times New Roman"/>
          <w:sz w:val="24"/>
          <w:szCs w:val="24"/>
        </w:rPr>
        <w:t xml:space="preserve">Katılımcıların dersin işlenişi, öğrenci takibi ve dönem içinde yapılacak çalışmalarla ilgili önerileri alındı. Katılımcılar dersin işlenişi, öğrenci takibi, materyal ihtiyacı ve dönem içinde yapılacak çalışmalarla ilgili önerilerini paylaştı. Önerilerin uygun görülenlerinin zümre çalışmaları içinde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çalışmaları içinde dikkate alınmasının yararlı olacağını ifade etti.</w:t>
      </w:r>
    </w:p>
    <w:p/>
    <w:p>
      <w:pPr>
        <w:jc w:val="left"/>
        <w:spacing w:after="80"/>
      </w:pPr>
      <w:r>
        <w:rPr>
          <w:rFonts w:ascii="Times New Roman" w:hAnsi="Times New Roman" w:eastAsia="Times New Roman" w:cs="Times New Roman"/>
          <w:sz w:val="24"/>
          <w:szCs w:val="24"/>
          <w:b w:val="1"/>
          <w:bCs w:val="1"/>
        </w:rPr>
        <w:t xml:space="preserve">39) Kapanış</w:t>
      </w:r>
    </w:p>
    <w:p>
      <w:pPr>
        <w:jc w:val="both"/>
        <w:spacing w:after="120"/>
      </w:pPr>
      <w:r>
        <w:rPr>
          <w:rFonts w:ascii="Times New Roman" w:hAnsi="Times New Roman" w:eastAsia="Times New Roman" w:cs="Times New Roman"/>
          <w:sz w:val="24"/>
          <w:szCs w:val="24"/>
        </w:rPr>
        <w:t xml:space="preserve">Alınan kararların uygulanması ve süreç içinde izlenmesi gerektiği belirtilerek toplantı çalışmaları tamamlandı. Toplantıda alınan kararların uygulanması, izlenmesi ve ihtiyaç duyulduğunda zümre içinde yeniden paylaşılması gerektiği belirtildi. Katılımcılara teşekkür edilerek toplantı süreci tamamlandı.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alınan kararların uygulanması ve süreç içinde takip edilmesi gerektiğini belirtti.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2025-2026 EĞİTİM-ÖĞRETİM YILI</w:t>
      </w:r>
    </w:p>
    <w:p>
      <w:pPr>
        <w:jc w:val="center"/>
        <w:spacing w:after="120"/>
      </w:pPr>
      <w:r>
        <w:rPr>
          <w:rFonts w:ascii="Times New Roman" w:hAnsi="Times New Roman" w:eastAsia="Times New Roman" w:cs="Times New Roman"/>
          <w:sz w:val="26"/>
          <w:szCs w:val="26"/>
          <w:b w:val="1"/>
          <w:bCs w:val="1"/>
        </w:rPr>
        <w:t xml:space="preserve">TÜRKÇE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 Toplantı gündeminin okunması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değerlendirilmesi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4) Zümre yönergesi, görev dağılımı ve toplantı işleyişinin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5) Mevzuattaki yenilikler, emir, genelge ve tebliğlerin incelenmesi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7) 5, 6 ve 7. sınıflarda uygulanacak Türkiye Yüzyılı Maarif Modeli kapsamında öğrenme çıktıları ve ders içeriklerinin değerlendirilmesi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8) Öğretim programı, çevre özellikleri, tema, konu, kazanım ve öğrenme çıktısı ağırlıkları, yıllık planlar, ders planları ve çalışma takviminin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9) Atatürkçülük konuları ile millî, manevi ve ahlaki değerler kapsamında yapılacak çalışmaların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10) Derslerin işlenişinde kullanılacak yöntem, teknik ve okul temelli uygulamaların belirlenmesi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11) Öğrenme çıktıları, etkinlikler, öğrenme kanıtları ve ölçme değerlendirme uygulamalarının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12) Sınavların şekli, sayısı, süresi ve değerlendirme esaslarının belirlenmesi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13) Ülke, il, ilçe ve okul geneli ortak sınavlar, mazeret sınavları ve değerlendirme işlemlerinin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14) Konu soru dağılım tabloları, sınav analizleri ve kazanım eksiklerinin değerlendirilmesi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15) Soru ve cevap anahtarları, dereceli puanlama anahtarları, kontrol listeleri ve değerlendirme ölçeklerinin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16) Sözlü anlatım, uygulamalı etkinlik ve ürün değerlendirme süreçlerinin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17) Ulusal ve uluslararası sınav, yarışma ve etkinlik sonuçlarına yönelik değerlendirmelerin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18) LGS kapsamındaki sınava hazırlık, izleme ve destekleme çalışmalarının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19) Öğrenci başarı durumu, dönem sonu değerlendirmeleri, kazanım eksikleri, izleme ve destekleyici eylem planlarının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20) Performans görevi, proje ve ürün değerlendirme çalışmalarının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21) Öğretim programı, okul ve çevre şartlarına göre proje, performans ve etkinlik çalışmalarının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22) Ders kitapları, kaynaklar, öğretim materyalleri ve bilişim araçlarının değerlendirilmesi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23) Laboratuvar, kütüphane, spor salonu, atölye ve benzeri eğitim ortamlarının kullanımının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24) Okul ve çevre imkânlarına dayalı gezi, gözlem, deney, araştırma, anket, proje ve okul dışı öğrenme çalışmalarının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25) BEP, ders planları, özel eğitim, farklılaştırılmış öğretim, zenginleştirme ve destekleme çalışmalarının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26) En az bir ders ziyareti, geri dönüt, mesleki paylaşım ve zümreler arası iş birliği çalışmalarının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27) Akademik, bilimsel ve teknolojik gelişmelerin derslere yansıtılmasının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28) Girişimcilik, araştırma geliştirme ve tasarım becerilerine yönelik çalışmaların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29) Disiplinler arası çalışmaların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30) Çoklu okuryazarlık, üst düzey düşünme, sosyal ve duygusal becerilere yönelik çalışmaların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31) Öğrencilerin bedensel, zihinsel, duygusal, sosyal ve ahlaki gelişimine yönelik çalışmaların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32) Sosyal sorumluluk, sosyal-kültürel, sanatsal ve sportif etkinliklerin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33) Yarışma, proje ve etkinliklere katılım çalışmalarının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34) Okul aile iş birliği ve veli toplantılarının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35) Önleme, müdahale ve yönlendirme çalışmalarının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36) Okul içi ve okul dışı faaliyetlerde araç, gereç, mali kaynak ve diğer ihtiyaçların belirlenmesi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37) İş sağlığı ve güvenliği tedbirlerinin değerlendirilmesi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38) Dilek ve temenniler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39) Kapanış başlığında görüşülen çalışmaların öğretim programına uygun şekilde yürütülmesine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Müdür Yardımcısı</w:t>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2026-06-27T10:33:45+03:00</dcterms:created>
  <dcterms:modified xsi:type="dcterms:W3CDTF">2026-06-27T10:33:45+03:00</dcterms:modified>
</cp:coreProperties>
</file>

<file path=docProps/custom.xml><?xml version="1.0" encoding="utf-8"?>
<Properties xmlns="http://schemas.openxmlformats.org/officeDocument/2006/custom-properties" xmlns:vt="http://schemas.openxmlformats.org/officeDocument/2006/docPropsVTypes"/>
</file>